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2D6AB475"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w:t>
            </w:r>
            <w:r w:rsidR="004F6AC1">
              <w:rPr>
                <w:rFonts w:eastAsia="Calibri" w:cstheme="minorHAnsi"/>
                <w:bCs/>
              </w:rPr>
              <w:t>’</w:t>
            </w:r>
            <w:r w:rsidRPr="00954E04">
              <w:rPr>
                <w:rFonts w:eastAsia="Calibri" w:cstheme="minorHAnsi"/>
                <w:bCs/>
              </w:rPr>
              <w:t>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1FAE18F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w:t>
            </w:r>
            <w:r w:rsidR="001D52B4">
              <w:rPr>
                <w:rFonts w:eastAsia="Calibri" w:cstheme="minorHAnsi"/>
                <w:bCs/>
              </w:rPr>
              <w:t>p</w:t>
            </w:r>
            <w:r>
              <w:rPr>
                <w:rFonts w:eastAsia="Calibri" w:cstheme="minorHAnsi"/>
                <w:bCs/>
              </w:rPr>
              <w:t xml:space="preserve">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3D8E66E6"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419CF">
              <w:rPr>
                <w:rFonts w:eastAsia="Calibri" w:cstheme="minorHAnsi"/>
                <w:bCs/>
              </w:rPr>
              <w:t xml:space="preserve">BOB </w:t>
            </w:r>
            <w:r w:rsidRPr="00F419CF">
              <w:rPr>
                <w:rFonts w:eastAsia="Calibri" w:cstheme="minorHAnsi"/>
                <w:bCs/>
              </w:rPr>
              <w:t>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06D704C1"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339FEC8A" w14:textId="77777777" w:rsidR="004F6AC1"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w:t>
            </w:r>
          </w:p>
          <w:p w14:paraId="1AD81FEE" w14:textId="77777777" w:rsidR="004F6AC1" w:rsidRDefault="004F6AC1" w:rsidP="006D24A0">
            <w:pPr>
              <w:autoSpaceDE w:val="0"/>
              <w:autoSpaceDN w:val="0"/>
              <w:rPr>
                <w:rFonts w:ascii="Calibri" w:hAnsi="Calibri" w:cs="Calibri"/>
                <w:sz w:val="23"/>
                <w:szCs w:val="23"/>
              </w:rPr>
            </w:pPr>
          </w:p>
          <w:p w14:paraId="0A81C382" w14:textId="19422D7F"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Please note that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4E8BC15D"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We may share anonymous</w:t>
            </w:r>
            <w:r w:rsidR="004E2F96">
              <w:rPr>
                <w:rFonts w:eastAsia="Calibri" w:cstheme="minorHAnsi"/>
                <w:bCs/>
              </w:rPr>
              <w:t xml:space="preserve"> </w:t>
            </w:r>
            <w:r w:rsidR="001D52B4">
              <w:rPr>
                <w:rFonts w:eastAsia="Calibri" w:cstheme="minorHAnsi"/>
                <w:bCs/>
              </w:rPr>
              <w:t xml:space="preserve">or pseudonymised </w:t>
            </w:r>
            <w:r>
              <w:rPr>
                <w:rFonts w:eastAsia="Calibri" w:cstheme="minorHAnsi"/>
                <w:bCs/>
              </w:rPr>
              <w:t xml:space="preserve">patient information with research companies for the purpose of exploring new ways of providing healthcare and treatment for patients with </w:t>
            </w:r>
            <w:r>
              <w:rPr>
                <w:rFonts w:eastAsia="Calibri" w:cstheme="minorHAnsi"/>
                <w:bCs/>
              </w:rPr>
              <w:lastRenderedPageBreak/>
              <w:t xml:space="preserve">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61E30B9E" w:rsidR="006D24A0" w:rsidRDefault="006D24A0" w:rsidP="006D24A0">
            <w:pPr>
              <w:jc w:val="both"/>
              <w:rPr>
                <w:rFonts w:eastAsia="Calibri" w:cstheme="minorHAnsi"/>
                <w:bCs/>
              </w:rPr>
            </w:pPr>
            <w:r>
              <w:rPr>
                <w:rFonts w:eastAsia="Calibri" w:cstheme="minorHAnsi"/>
                <w:bCs/>
              </w:rPr>
              <w:t xml:space="preserve">Where you have opted out of having your information shared for this </w:t>
            </w:r>
            <w:r w:rsidR="001D52B4">
              <w:rPr>
                <w:rFonts w:eastAsia="Calibri" w:cstheme="minorHAnsi"/>
                <w:bCs/>
              </w:rPr>
              <w:t>p</w:t>
            </w:r>
            <w:r>
              <w:rPr>
                <w:rFonts w:eastAsia="Calibri" w:cstheme="minorHAnsi"/>
                <w:bCs/>
              </w:rPr>
              <w:t xml:space="preserve">lanning or </w:t>
            </w:r>
            <w:r w:rsidR="001D52B4">
              <w:rPr>
                <w:rFonts w:eastAsia="Calibri" w:cstheme="minorHAnsi"/>
                <w:bCs/>
              </w:rPr>
              <w:t>r</w:t>
            </w:r>
            <w:r>
              <w:rPr>
                <w:rFonts w:eastAsia="Calibri" w:cstheme="minorHAnsi"/>
                <w:bCs/>
              </w:rPr>
              <w:t>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Pr="002A1C6F" w:rsidRDefault="006D24A0" w:rsidP="006D24A0">
            <w:pPr>
              <w:jc w:val="both"/>
              <w:rPr>
                <w:rFonts w:cstheme="minorHAnsi"/>
                <w:bCs/>
                <w:color w:val="000000" w:themeColor="text1"/>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44DA2453" w14:textId="7FA2F962" w:rsidR="006D24A0" w:rsidRPr="00954E04" w:rsidRDefault="006D24A0" w:rsidP="006D24A0">
            <w:pPr>
              <w:jc w:val="both"/>
              <w:rPr>
                <w:rFonts w:eastAsia="Calibri" w:cstheme="minorHAnsi"/>
                <w:b/>
                <w:bCs/>
              </w:rPr>
            </w:pP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3807D85"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r w:rsidR="00D027C3" w:rsidRPr="00954E04">
              <w:rPr>
                <w:rFonts w:eastAsia="Calibri" w:cstheme="minorHAnsi"/>
                <w:bCs/>
              </w:rPr>
              <w:t>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1F485D2E" w:rsidR="006D24A0" w:rsidRPr="00954E04" w:rsidRDefault="008224F7" w:rsidP="006D24A0">
            <w:pPr>
              <w:jc w:val="both"/>
              <w:rPr>
                <w:rFonts w:eastAsia="Calibri" w:cstheme="minorHAnsi"/>
                <w:b/>
                <w:bCs/>
              </w:rPr>
            </w:pPr>
            <w:r>
              <w:rPr>
                <w:rFonts w:eastAsia="Calibri" w:cstheme="minorHAnsi"/>
                <w:b/>
                <w:bCs/>
              </w:rPr>
              <w:t>P</w:t>
            </w:r>
            <w:r w:rsidR="006D24A0" w:rsidRPr="00954E04">
              <w:rPr>
                <w:rFonts w:eastAsia="Calibri" w:cstheme="minorHAnsi"/>
                <w:b/>
                <w:bCs/>
              </w:rPr>
              <w:t>rocessor</w:t>
            </w:r>
            <w:r w:rsidR="006D24A0" w:rsidRPr="00954E04">
              <w:rPr>
                <w:rFonts w:eastAsia="Calibri" w:cstheme="minorHAnsi"/>
                <w:bCs/>
              </w:rPr>
              <w:t xml:space="preserve"> –</w:t>
            </w:r>
            <w:r w:rsidR="00F419CF">
              <w:rPr>
                <w:rFonts w:eastAsia="Calibri" w:cstheme="minorHAnsi"/>
                <w:bCs/>
              </w:rPr>
              <w:t>SCW Commissioning Support Unit</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36506C7D"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F419CF">
              <w:rPr>
                <w:rFonts w:eastAsia="Calibri" w:cstheme="minorHAnsi"/>
                <w:bCs/>
              </w:rPr>
              <w:t xml:space="preserve">Safeguarding </w:t>
            </w:r>
            <w:r w:rsidR="00F419CF">
              <w:rPr>
                <w:rFonts w:eastAsia="Calibri" w:cstheme="minorHAnsi"/>
                <w:bCs/>
              </w:rPr>
              <w:t>Adults Team Bucks County Council</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209060B7"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419CF">
              <w:rPr>
                <w:rFonts w:eastAsia="Calibri" w:cstheme="minorHAnsi"/>
                <w:bCs/>
              </w:rPr>
              <w:t>Safeguarding Children Team Bucks CC</w:t>
            </w: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41DB7FEC"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r w:rsidR="004D13A3" w:rsidRPr="00954E04">
              <w:rPr>
                <w:rFonts w:cstheme="minorHAnsi"/>
                <w:sz w:val="23"/>
                <w:szCs w:val="23"/>
              </w:rPr>
              <w:t>at risk</w:t>
            </w:r>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37BF32FA" w14:textId="77777777" w:rsidR="00F419CF" w:rsidRPr="00954E04" w:rsidRDefault="00F419CF"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3D13665B" w:rsidR="006D24A0" w:rsidRPr="00954E04" w:rsidRDefault="006D24A0" w:rsidP="006D24A0">
            <w:pPr>
              <w:jc w:val="both"/>
              <w:rPr>
                <w:rFonts w:cstheme="minorHAnsi"/>
              </w:rPr>
            </w:pP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3AAF2F72" w:rsidR="006D24A0" w:rsidRDefault="006D24A0" w:rsidP="006D24A0">
            <w:pPr>
              <w:pStyle w:val="NoSpacing"/>
            </w:pPr>
            <w:r>
              <w:t xml:space="preserve">More </w:t>
            </w:r>
            <w:r w:rsidRPr="00954E04">
              <w:t>information can be fo</w:t>
            </w:r>
            <w:r w:rsidRPr="008224F7">
              <w:t xml:space="preserve">und at: </w:t>
            </w:r>
            <w:hyperlink r:id="rId10" w:history="1">
              <w:r w:rsidR="0098734B" w:rsidRPr="008224F7">
                <w:rPr>
                  <w:rStyle w:val="Hyperlink"/>
                </w:rPr>
                <w:t>Population screening programmes - GOV.UK</w:t>
              </w:r>
            </w:hyperlink>
            <w:r w:rsidR="0098734B" w:rsidRPr="008224F7">
              <w:t xml:space="preserve"> </w:t>
            </w:r>
            <w:r w:rsidRPr="008224F7">
              <w:t>[Or</w:t>
            </w:r>
            <w:r w:rsidRPr="00954E04">
              <w:t xml:space="preserve"> insert relevant link] or speak to the </w:t>
            </w:r>
            <w:r>
              <w:t>practice.</w:t>
            </w:r>
          </w:p>
          <w:p w14:paraId="1965962C" w14:textId="77777777" w:rsidR="006D24A0" w:rsidRDefault="006D24A0" w:rsidP="006D24A0">
            <w:pPr>
              <w:pStyle w:val="NoSpacing"/>
            </w:pPr>
          </w:p>
          <w:p w14:paraId="14288DC0" w14:textId="77777777" w:rsidR="008224F7" w:rsidRDefault="006D24A0" w:rsidP="006D24A0">
            <w:pPr>
              <w:jc w:val="both"/>
              <w:rPr>
                <w:rFonts w:eastAsia="Calibri" w:cstheme="minorHAnsi"/>
                <w:bCs/>
              </w:rPr>
            </w:pPr>
            <w:r w:rsidRPr="008224F7">
              <w:rPr>
                <w:rFonts w:eastAsia="Calibri" w:cstheme="minorHAnsi"/>
                <w:bCs/>
              </w:rPr>
              <w:t xml:space="preserve">Patients </w:t>
            </w:r>
            <w:r w:rsidRPr="008224F7">
              <w:rPr>
                <w:rFonts w:eastAsia="Calibri" w:cstheme="minorHAnsi"/>
                <w:b/>
              </w:rPr>
              <w:t>may not opt out</w:t>
            </w:r>
            <w:r>
              <w:rPr>
                <w:rFonts w:eastAsia="Calibri" w:cstheme="minorHAnsi"/>
                <w:bCs/>
              </w:rPr>
              <w:t xml:space="preserve"> of having their personal information shared for Public Health reasons.</w:t>
            </w:r>
          </w:p>
          <w:p w14:paraId="7BB462AA" w14:textId="72D2B6A5" w:rsidR="006D24A0" w:rsidRDefault="008224F7" w:rsidP="006D24A0">
            <w:pPr>
              <w:jc w:val="both"/>
              <w:rPr>
                <w:rFonts w:eastAsia="Calibri" w:cstheme="minorHAnsi"/>
                <w:bCs/>
              </w:rPr>
            </w:pPr>
            <w:r>
              <w:rPr>
                <w:rFonts w:eastAsia="Calibri" w:cstheme="minorHAnsi"/>
                <w:bCs/>
              </w:rPr>
              <w:t>P</w:t>
            </w:r>
            <w:r w:rsidR="006D24A0">
              <w:rPr>
                <w:rFonts w:eastAsia="Calibri" w:cstheme="minorHAnsi"/>
                <w:bCs/>
              </w:rPr>
              <w:t>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57750D11" w:rsidR="006D24A0" w:rsidRPr="00AA0BD9" w:rsidRDefault="006D24A0" w:rsidP="006D24A0">
            <w:pPr>
              <w:jc w:val="both"/>
              <w:rPr>
                <w:rFonts w:eastAsia="Calibri" w:cstheme="minorHAnsi"/>
                <w:bCs/>
              </w:rPr>
            </w:pPr>
            <w:r w:rsidRPr="008224F7">
              <w:rPr>
                <w:rFonts w:eastAsia="Calibri" w:cstheme="minorHAnsi"/>
                <w:b/>
              </w:rPr>
              <w:t>Processor</w:t>
            </w:r>
            <w:r w:rsidRPr="00954E04">
              <w:rPr>
                <w:rFonts w:eastAsia="Calibri" w:cstheme="minorHAnsi"/>
                <w:bCs/>
              </w:rPr>
              <w:t xml:space="preserve"> – </w:t>
            </w:r>
            <w:r w:rsidRPr="00F419CF">
              <w:rPr>
                <w:rFonts w:eastAsia="Calibri" w:cstheme="minorHAnsi"/>
                <w:bCs/>
              </w:rPr>
              <w:t xml:space="preserve">Public Health </w:t>
            </w:r>
            <w:r w:rsidR="00F419CF">
              <w:rPr>
                <w:rFonts w:eastAsia="Calibri" w:cstheme="minorHAnsi"/>
                <w:bCs/>
              </w:rPr>
              <w:t>England</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1FAB9095"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w:t>
            </w:r>
            <w:r w:rsidRPr="008224F7">
              <w:rPr>
                <w:rFonts w:eastAsia="Calibri" w:cstheme="minorHAnsi"/>
                <w:bCs/>
              </w:rPr>
              <w:t>physio</w:t>
            </w:r>
            <w:r w:rsidR="00EA1974" w:rsidRPr="008224F7">
              <w:rPr>
                <w:rFonts w:eastAsia="Calibri" w:cstheme="minorHAnsi"/>
                <w:bCs/>
              </w:rPr>
              <w:t>therapy</w:t>
            </w:r>
            <w:r w:rsidRPr="008224F7">
              <w:rPr>
                <w:rFonts w:eastAsia="Calibri" w:cstheme="minorHAnsi"/>
                <w:bCs/>
              </w:rPr>
              <w:t>,</w:t>
            </w:r>
            <w:r w:rsidRPr="00954E04">
              <w:rPr>
                <w:rFonts w:eastAsia="Calibri" w:cstheme="minorHAnsi"/>
                <w:bCs/>
              </w:rPr>
              <w:t xml:space="preserve">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346D8318" w:rsidR="006D24A0" w:rsidRPr="00954E04" w:rsidRDefault="006D24A0" w:rsidP="006D24A0">
            <w:pPr>
              <w:jc w:val="both"/>
              <w:rPr>
                <w:rFonts w:eastAsia="Calibri" w:cstheme="minorHAnsi"/>
                <w:bCs/>
              </w:rPr>
            </w:pPr>
            <w:r w:rsidRPr="00954E04">
              <w:rPr>
                <w:rFonts w:cstheme="minorHAnsi"/>
                <w:b/>
              </w:rPr>
              <w:t>Processor</w:t>
            </w:r>
            <w:r w:rsidRPr="00954E04">
              <w:rPr>
                <w:rFonts w:cstheme="minorHAnsi"/>
              </w:rPr>
              <w:t xml:space="preserve"> – </w:t>
            </w:r>
            <w:r w:rsidR="00F419CF">
              <w:rPr>
                <w:rFonts w:cstheme="minorHAnsi"/>
              </w:rPr>
              <w:t>BHT</w:t>
            </w:r>
          </w:p>
        </w:tc>
      </w:tr>
      <w:tr w:rsidR="006D24A0" w:rsidRPr="00954E04" w14:paraId="50245466" w14:textId="77777777" w:rsidTr="00AD412F">
        <w:tc>
          <w:tcPr>
            <w:tcW w:w="2972" w:type="dxa"/>
          </w:tcPr>
          <w:p w14:paraId="6ACB7131" w14:textId="088987BF" w:rsidR="006D24A0" w:rsidRPr="00954E04" w:rsidRDefault="006D24A0" w:rsidP="006D24A0">
            <w:pPr>
              <w:rPr>
                <w:rFonts w:eastAsia="Calibri" w:cstheme="minorHAnsi"/>
                <w:bCs/>
              </w:rPr>
            </w:pPr>
            <w:r w:rsidRPr="00954E04">
              <w:rPr>
                <w:rFonts w:eastAsia="Calibri" w:cstheme="minorHAnsi"/>
                <w:bCs/>
              </w:rPr>
              <w:lastRenderedPageBreak/>
              <w:t>Care Quality Commission</w:t>
            </w:r>
            <w:r w:rsidR="0098734B">
              <w:rPr>
                <w:rFonts w:eastAsia="Calibri" w:cstheme="minorHAnsi"/>
                <w:bCs/>
              </w:rPr>
              <w:t xml:space="preserve"> </w:t>
            </w:r>
            <w:r w:rsidR="007E387E">
              <w:rPr>
                <w:rFonts w:eastAsia="Calibri" w:cstheme="minorHAnsi"/>
                <w:bCs/>
              </w:rPr>
              <w:t>(CQC)</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47AD367C" w:rsidR="006D24A0" w:rsidRPr="00954E04" w:rsidRDefault="006D24A0" w:rsidP="006D24A0">
            <w:pPr>
              <w:jc w:val="both"/>
            </w:pPr>
            <w:r w:rsidRPr="00954E04">
              <w:t xml:space="preserve">More detail on how they ensure compliance with data protection law (including </w:t>
            </w:r>
            <w:r>
              <w:t xml:space="preserve">UK </w:t>
            </w:r>
            <w:r w:rsidRPr="00954E04">
              <w:t>GDPR) and their privacy statement is</w:t>
            </w:r>
            <w:r w:rsidRPr="007E387E">
              <w:t xml:space="preserve"> </w:t>
            </w:r>
            <w:hyperlink r:id="rId11" w:tgtFrame="_blank" w:history="1">
              <w:r w:rsidRPr="007E387E">
                <w:t>available on our website</w:t>
              </w:r>
            </w:hyperlink>
            <w:r w:rsidRPr="007E387E">
              <w:rPr>
                <w:b/>
                <w:bCs/>
              </w:rPr>
              <w:t>:</w:t>
            </w:r>
            <w:r w:rsidR="007E387E">
              <w:rPr>
                <w:b/>
                <w:bCs/>
              </w:rPr>
              <w:t xml:space="preserve"> </w:t>
            </w:r>
            <w:hyperlink r:id="rId12" w:history="1">
              <w:r w:rsidR="007E387E" w:rsidRPr="008224F7">
                <w:rPr>
                  <w:rStyle w:val="Hyperlink"/>
                  <w:b/>
                  <w:bCs/>
                </w:rPr>
                <w:t>Privacy statement - Care Quality Commission</w:t>
              </w:r>
            </w:hyperlink>
            <w:r w:rsidRPr="007E387E">
              <w:rPr>
                <w:b/>
                <w:bCs/>
              </w:rPr>
              <w:t xml:space="preserve"> </w:t>
            </w:r>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126DAD57" w:rsidR="007D0FB5" w:rsidRPr="007D0FB5" w:rsidRDefault="007D0FB5" w:rsidP="007D0FB5">
            <w:pPr>
              <w:numPr>
                <w:ilvl w:val="0"/>
                <w:numId w:val="1"/>
              </w:numPr>
              <w:autoSpaceDE w:val="0"/>
              <w:autoSpaceDN w:val="0"/>
              <w:adjustRightInd w:val="0"/>
              <w:contextualSpacing/>
              <w:jc w:val="both"/>
              <w:rPr>
                <w:rFonts w:cstheme="minorHAnsi"/>
              </w:rPr>
            </w:pPr>
            <w:r w:rsidRPr="002F6A9F">
              <w:rPr>
                <w:rFonts w:cstheme="minorHAnsi"/>
              </w:rPr>
              <w:t>Article 6(1)(</w:t>
            </w:r>
            <w:r w:rsidR="002F6A9F">
              <w:rPr>
                <w:rFonts w:cstheme="minorHAnsi"/>
              </w:rPr>
              <w:t>c</w:t>
            </w:r>
            <w:r w:rsidRPr="002F6A9F">
              <w:rPr>
                <w:rFonts w:cstheme="minorHAnsi"/>
              </w:rPr>
              <w:t>)</w:t>
            </w:r>
            <w:r w:rsidRPr="007D0FB5">
              <w:rPr>
                <w:rFonts w:cstheme="minorHAnsi"/>
              </w:rPr>
              <w:t xml:space="preserv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5B100D2F" w:rsidR="006D24A0" w:rsidRPr="00703C18" w:rsidRDefault="006D24A0" w:rsidP="006D24A0">
            <w:pPr>
              <w:jc w:val="both"/>
              <w:rPr>
                <w:rFonts w:cstheme="minorHAnsi"/>
              </w:rPr>
            </w:pPr>
            <w:r w:rsidRPr="00954E04">
              <w:rPr>
                <w:rFonts w:cstheme="minorHAnsi"/>
                <w:b/>
              </w:rPr>
              <w:t>Processor</w:t>
            </w:r>
            <w:r w:rsidRPr="00954E04">
              <w:rPr>
                <w:rFonts w:cstheme="minorHAnsi"/>
              </w:rPr>
              <w:t xml:space="preserve">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3FF6CCB8" w14:textId="43630584" w:rsidR="00EA1974" w:rsidRDefault="006D24A0" w:rsidP="002B05A9">
            <w:pPr>
              <w:rPr>
                <w:rFonts w:eastAsia="Calibri" w:cstheme="minorHAnsi"/>
              </w:rPr>
            </w:pPr>
            <w:r w:rsidRPr="00A126AF">
              <w:rPr>
                <w:rFonts w:eastAsia="Calibri" w:cstheme="minorHAnsi"/>
                <w:b/>
                <w:bCs/>
              </w:rPr>
              <w:t>Purp</w:t>
            </w:r>
            <w:r w:rsidRPr="008224F7">
              <w:rPr>
                <w:rFonts w:eastAsia="Calibri" w:cstheme="minorHAnsi"/>
                <w:b/>
                <w:bCs/>
              </w:rPr>
              <w:t xml:space="preserve">ose – </w:t>
            </w:r>
            <w:r w:rsidR="00EA1974" w:rsidRPr="008224F7">
              <w:rPr>
                <w:rFonts w:eastAsia="Calibri" w:cstheme="minorHAnsi"/>
              </w:rPr>
              <w:t>Population health management aims to shift the focus from reactive care to proactive, preventative care. It is a critical function of our new integrated care systems and the foundation to building a healthier future together.</w:t>
            </w:r>
          </w:p>
          <w:p w14:paraId="18B3C519" w14:textId="77777777" w:rsidR="00EA1974" w:rsidRDefault="00EA1974" w:rsidP="002B05A9">
            <w:pPr>
              <w:rPr>
                <w:rFonts w:eastAsia="Calibri" w:cstheme="minorHAnsi"/>
                <w:b/>
                <w:bCs/>
              </w:rPr>
            </w:pPr>
          </w:p>
          <w:p w14:paraId="0FBAA5CD" w14:textId="39926343" w:rsidR="006D24A0" w:rsidRPr="00A126AF" w:rsidRDefault="006D24A0" w:rsidP="002B05A9">
            <w:pPr>
              <w:rPr>
                <w:rFonts w:eastAsia="Calibri" w:cstheme="minorHAnsi"/>
              </w:rPr>
            </w:pP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742D6ECD"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r w:rsidR="00EA1974" w:rsidRPr="002B05A9">
              <w:rPr>
                <w:rFonts w:eastAsia="Calibri" w:cstheme="minorHAnsi"/>
              </w:rPr>
              <w:t>services but</w:t>
            </w:r>
            <w:r w:rsidRPr="002B05A9">
              <w:rPr>
                <w:rFonts w:eastAsia="Calibri" w:cstheme="minorHAnsi"/>
              </w:rPr>
              <w:t xml:space="preserve"> looking to </w:t>
            </w:r>
            <w:r w:rsidR="007E387E" w:rsidRPr="002B05A9">
              <w:rPr>
                <w:rFonts w:eastAsia="Calibri" w:cstheme="minorHAnsi"/>
              </w:rPr>
              <w:t>join up</w:t>
            </w:r>
            <w:r w:rsidRPr="002B05A9">
              <w:rPr>
                <w:rFonts w:eastAsia="Calibri" w:cstheme="minorHAnsi"/>
              </w:rPr>
              <w:t xml:space="preserve"> care across different partners.</w:t>
            </w:r>
          </w:p>
          <w:p w14:paraId="2B021502" w14:textId="77777777" w:rsidR="006D24A0" w:rsidRPr="00A126AF" w:rsidRDefault="006D24A0" w:rsidP="006D24A0">
            <w:pPr>
              <w:jc w:val="both"/>
              <w:rPr>
                <w:rFonts w:eastAsia="Calibri" w:cstheme="minorHAnsi"/>
                <w:b/>
                <w:bCs/>
              </w:rPr>
            </w:pPr>
          </w:p>
          <w:p w14:paraId="6348E038" w14:textId="77777777" w:rsidR="007E387E"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w:t>
            </w:r>
          </w:p>
          <w:p w14:paraId="4BC9AE21" w14:textId="77777777" w:rsidR="00EA1974" w:rsidRDefault="00EA1974" w:rsidP="002B05A9">
            <w:pPr>
              <w:rPr>
                <w:rFonts w:eastAsia="Calibri" w:cstheme="minorHAnsi"/>
              </w:rPr>
            </w:pPr>
          </w:p>
          <w:p w14:paraId="09ECBC2E" w14:textId="0E00B26D" w:rsidR="006D24A0" w:rsidRPr="00A126AF" w:rsidRDefault="006D24A0" w:rsidP="002B05A9">
            <w:pPr>
              <w:rPr>
                <w:rFonts w:eastAsia="Calibri" w:cstheme="minorHAnsi"/>
              </w:rPr>
            </w:pPr>
            <w:r w:rsidRPr="00A126AF">
              <w:rPr>
                <w:rFonts w:eastAsia="Calibri" w:cstheme="minorHAnsi"/>
              </w:rPr>
              <w:t>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1AB30E53" w:rsidR="006D24A0" w:rsidRPr="00954E04" w:rsidRDefault="006D24A0" w:rsidP="006D24A0">
            <w:pPr>
              <w:jc w:val="both"/>
              <w:rPr>
                <w:rFonts w:eastAsia="Calibri" w:cstheme="minorHAnsi"/>
                <w:b/>
                <w:bCs/>
              </w:rPr>
            </w:pPr>
            <w:r w:rsidRPr="00A126AF">
              <w:rPr>
                <w:rFonts w:eastAsia="Calibri" w:cstheme="minorHAnsi"/>
                <w:b/>
                <w:bCs/>
              </w:rPr>
              <w:t>Processor -</w:t>
            </w:r>
            <w:r>
              <w:rPr>
                <w:rFonts w:eastAsia="Calibri" w:cstheme="minorHAnsi"/>
                <w:b/>
                <w:bCs/>
              </w:rPr>
              <w:t xml:space="preserve"> </w:t>
            </w:r>
            <w:r w:rsidRPr="00E70AAD">
              <w:rPr>
                <w:rFonts w:eastAsia="Calibri" w:cstheme="minorHAnsi"/>
              </w:rPr>
              <w:t>Optum, Cerner</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3A0911A1" w14:textId="77777777" w:rsidR="007E387E"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w:t>
            </w:r>
            <w:r w:rsidRPr="00954E04">
              <w:rPr>
                <w:rFonts w:cstheme="minorHAnsi"/>
              </w:rPr>
              <w:lastRenderedPageBreak/>
              <w:t xml:space="preserve">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w:t>
            </w:r>
          </w:p>
          <w:p w14:paraId="634D35D8" w14:textId="77777777" w:rsidR="007E387E" w:rsidRDefault="007E387E" w:rsidP="006D24A0">
            <w:pPr>
              <w:jc w:val="both"/>
              <w:rPr>
                <w:rFonts w:cstheme="minorHAnsi"/>
              </w:rPr>
            </w:pPr>
          </w:p>
          <w:p w14:paraId="2C239EFD" w14:textId="72716ED2" w:rsidR="006D24A0" w:rsidRPr="00954E04" w:rsidRDefault="007E387E" w:rsidP="006D24A0">
            <w:pPr>
              <w:jc w:val="both"/>
              <w:rPr>
                <w:rFonts w:cstheme="minorHAnsi"/>
              </w:rPr>
            </w:pPr>
            <w:r w:rsidRPr="008224F7">
              <w:rPr>
                <w:rFonts w:cstheme="minorHAnsi"/>
              </w:rPr>
              <w:t xml:space="preserve">Practices can also receive payments for participating in agreed national or local enhanced services, for instance opening early in the morning or late at night or at the weekends. </w:t>
            </w:r>
            <w:r w:rsidR="006D24A0" w:rsidRPr="008224F7">
              <w:rPr>
                <w:rFonts w:cstheme="minorHAnsi"/>
              </w:rPr>
              <w:t>Practices</w:t>
            </w:r>
            <w:r w:rsidR="006D24A0" w:rsidRPr="00954E04">
              <w:rPr>
                <w:rFonts w:cstheme="minorHAnsi"/>
              </w:rPr>
              <w:t xml:space="preserve"> can also receive payments for certain national initiatives such as immunisation programs and practices may also receive incom</w:t>
            </w:r>
            <w:r w:rsidR="006D24A0">
              <w:rPr>
                <w:rFonts w:cstheme="minorHAnsi"/>
              </w:rPr>
              <w:t>es relating to a variety of non-</w:t>
            </w:r>
            <w:r w:rsidR="006D24A0" w:rsidRPr="00954E04">
              <w:rPr>
                <w:rFonts w:cstheme="minorHAnsi"/>
              </w:rPr>
              <w:t xml:space="preserve">patient related elements such as premises. </w:t>
            </w:r>
            <w:r w:rsidR="004D13A3" w:rsidRPr="00954E04">
              <w:rPr>
                <w:rFonts w:cstheme="minorHAnsi"/>
              </w:rPr>
              <w:t>Finally,</w:t>
            </w:r>
            <w:r w:rsidR="006D24A0"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In order to make </w:t>
            </w:r>
            <w:r w:rsidR="004D13A3" w:rsidRPr="00954E04">
              <w:rPr>
                <w:rFonts w:cstheme="minorHAnsi"/>
              </w:rPr>
              <w:t>patient-based</w:t>
            </w:r>
            <w:r w:rsidR="006D24A0"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30B70F85" w14:textId="77777777" w:rsidR="008224F7" w:rsidRDefault="008224F7" w:rsidP="006D24A0">
            <w:pPr>
              <w:jc w:val="both"/>
              <w:rPr>
                <w:rFonts w:cstheme="minorHAnsi"/>
                <w:b/>
              </w:rPr>
            </w:pPr>
          </w:p>
          <w:p w14:paraId="1A53D5D4" w14:textId="1D4CADC7" w:rsidR="006D24A0" w:rsidRPr="00703C18" w:rsidRDefault="006D24A0" w:rsidP="006D24A0">
            <w:pPr>
              <w:jc w:val="both"/>
              <w:rPr>
                <w:rFonts w:cstheme="minorHAnsi"/>
              </w:rPr>
            </w:pPr>
            <w:r w:rsidRPr="00954E04">
              <w:rPr>
                <w:rFonts w:cstheme="minorHAnsi"/>
                <w:b/>
              </w:rPr>
              <w:t>Processo</w:t>
            </w:r>
            <w:r w:rsidR="008224F7">
              <w:rPr>
                <w:rFonts w:cstheme="minorHAnsi"/>
                <w:b/>
              </w:rPr>
              <w:t>r</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14BF7C21" w:rsidR="006D24A0" w:rsidRPr="00954E04" w:rsidRDefault="008224F7" w:rsidP="006D24A0">
            <w:pPr>
              <w:rPr>
                <w:rFonts w:eastAsia="Calibri" w:cstheme="minorHAnsi"/>
                <w:bCs/>
              </w:rPr>
            </w:pPr>
            <w:r>
              <w:rPr>
                <w:rFonts w:eastAsia="Calibri" w:cstheme="minorHAnsi"/>
                <w:bCs/>
              </w:rPr>
              <w:lastRenderedPageBreak/>
              <w:t>GP Clinical System</w:t>
            </w:r>
          </w:p>
        </w:tc>
        <w:tc>
          <w:tcPr>
            <w:tcW w:w="6044" w:type="dxa"/>
          </w:tcPr>
          <w:p w14:paraId="1DD7016A" w14:textId="31C49833" w:rsidR="007D0434" w:rsidRDefault="006D24A0" w:rsidP="006D24A0">
            <w:pPr>
              <w:jc w:val="both"/>
              <w:rPr>
                <w:rFonts w:eastAsia="Calibri" w:cstheme="minorHAnsi"/>
                <w:b/>
                <w:bCs/>
              </w:rPr>
            </w:pPr>
            <w:r w:rsidRPr="00954E04">
              <w:rPr>
                <w:rFonts w:eastAsia="Calibri" w:cstheme="minorHAnsi"/>
                <w:b/>
                <w:bCs/>
              </w:rPr>
              <w:t xml:space="preserve">Purpose – </w:t>
            </w:r>
            <w:r w:rsidR="007D0434" w:rsidRPr="008224F7">
              <w:rPr>
                <w:rFonts w:eastAsia="Calibri" w:cstheme="minorHAnsi"/>
              </w:rPr>
              <w:t xml:space="preserve">NHS GP surgery </w:t>
            </w:r>
            <w:r w:rsidR="008224F7">
              <w:rPr>
                <w:rFonts w:eastAsia="Calibri" w:cstheme="minorHAnsi"/>
              </w:rPr>
              <w:t>clinical</w:t>
            </w:r>
            <w:r w:rsidR="007D0434" w:rsidRPr="008224F7">
              <w:rPr>
                <w:rFonts w:eastAsia="Calibri" w:cstheme="minorHAnsi"/>
              </w:rPr>
              <w:t xml:space="preserve"> systems are digital platforms, that manage patient info, allowing online access via the NHS App for appointments, prescriptions, and viewing records (allergies, medicines, results). These systems ensure data sharing between clinicians through GP Connect, improving care, with all practices mandated to provide online access to new record entries.</w:t>
            </w:r>
            <w:r w:rsidR="007D0434" w:rsidRPr="007D0434">
              <w:rPr>
                <w:rFonts w:eastAsia="Calibri" w:cstheme="minorHAnsi"/>
                <w:b/>
                <w:bCs/>
              </w:rPr>
              <w:t> </w:t>
            </w:r>
          </w:p>
          <w:p w14:paraId="1B847C1E" w14:textId="77777777" w:rsidR="007D0434" w:rsidRDefault="007D0434" w:rsidP="006D24A0">
            <w:pPr>
              <w:jc w:val="both"/>
              <w:rPr>
                <w:rFonts w:eastAsia="Calibri" w:cstheme="minorHAnsi"/>
                <w:b/>
                <w:bCs/>
              </w:rPr>
            </w:pPr>
          </w:p>
          <w:p w14:paraId="0367D227" w14:textId="5C5DF4C8" w:rsidR="006D24A0" w:rsidRDefault="006D24A0" w:rsidP="006D24A0">
            <w:pPr>
              <w:jc w:val="both"/>
              <w:rPr>
                <w:rFonts w:eastAsia="Calibri" w:cstheme="minorHAnsi"/>
                <w:bCs/>
              </w:rPr>
            </w:pP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31B1B5C9"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Pr="00E70AAD">
              <w:rPr>
                <w:rFonts w:cstheme="minorHAnsi"/>
              </w:rPr>
              <w:t>EMIS</w:t>
            </w:r>
            <w:r w:rsidR="00E70AAD">
              <w:rPr>
                <w:rFonts w:cstheme="minorHAnsi"/>
              </w:rPr>
              <w:t>,</w:t>
            </w:r>
            <w:r>
              <w:rPr>
                <w:rFonts w:cstheme="minorHAnsi"/>
              </w:rPr>
              <w:t xml:space="preserve">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370DAE8B" w14:textId="6559AA12"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sidR="007D0434">
              <w:rPr>
                <w:rFonts w:eastAsia="Calibri" w:cstheme="minorHAnsi"/>
                <w:bCs/>
              </w:rPr>
              <w:t xml:space="preserve"> 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1E7E41AC" w:rsidR="006D24A0" w:rsidRDefault="006D24A0" w:rsidP="006D24A0">
            <w:pPr>
              <w:jc w:val="both"/>
              <w:rPr>
                <w:rFonts w:eastAsia="Calibri" w:cstheme="minorHAnsi"/>
                <w:bCs/>
              </w:rPr>
            </w:pPr>
            <w:r>
              <w:rPr>
                <w:rFonts w:eastAsia="Calibri" w:cstheme="minorHAnsi"/>
                <w:bCs/>
              </w:rPr>
              <w:t>I</w:t>
            </w:r>
            <w:r w:rsidRPr="00954E04">
              <w:rPr>
                <w:rFonts w:eastAsia="Calibri" w:cstheme="minorHAnsi"/>
                <w:bCs/>
              </w:rPr>
              <w:t xml:space="preserve">nsurance companies seeking a </w:t>
            </w:r>
            <w:r w:rsidR="007D0434" w:rsidRPr="00954E04">
              <w:rPr>
                <w:rFonts w:eastAsia="Calibri" w:cstheme="minorHAnsi"/>
                <w:bCs/>
              </w:rPr>
              <w:t>medical report</w:t>
            </w:r>
            <w:r>
              <w:rPr>
                <w:rFonts w:eastAsia="Calibri" w:cstheme="minorHAnsi"/>
                <w:bCs/>
              </w:rPr>
              <w:t xml:space="preserve"> where you have applied for services offered by the</w:t>
            </w:r>
            <w:r w:rsidR="007C724C">
              <w:rPr>
                <w:rFonts w:eastAsia="Calibri" w:cstheme="minorHAnsi"/>
                <w:bCs/>
              </w:rPr>
              <w:t>m</w:t>
            </w:r>
            <w:r w:rsidR="007D0434">
              <w:rPr>
                <w:rFonts w:eastAsia="Calibri" w:cstheme="minorHAnsi"/>
                <w:bCs/>
              </w:rPr>
              <w:t>,</w:t>
            </w:r>
            <w:r w:rsidRPr="00954E04">
              <w:rPr>
                <w:rFonts w:eastAsia="Calibri" w:cstheme="minorHAnsi"/>
                <w:bCs/>
              </w:rPr>
              <w:t xml:space="preserve"> can have a </w:t>
            </w:r>
            <w:r w:rsidRPr="008224F7">
              <w:rPr>
                <w:rFonts w:eastAsia="Calibri" w:cstheme="minorHAnsi"/>
                <w:bCs/>
              </w:rPr>
              <w:t xml:space="preserve">copy </w:t>
            </w:r>
            <w:r w:rsidR="007D0434" w:rsidRPr="008224F7">
              <w:rPr>
                <w:rFonts w:eastAsia="Calibri" w:cstheme="minorHAnsi"/>
                <w:bCs/>
              </w:rPr>
              <w:t>of</w:t>
            </w:r>
            <w:r w:rsidRPr="008224F7">
              <w:rPr>
                <w:rFonts w:eastAsia="Calibri" w:cstheme="minorHAnsi"/>
                <w:bCs/>
              </w:rPr>
              <w:t xml:space="preserve"> your</w:t>
            </w:r>
            <w:r w:rsidRPr="00954E04">
              <w:rPr>
                <w:rFonts w:eastAsia="Calibri" w:cstheme="minorHAnsi"/>
                <w:bCs/>
              </w:rPr>
              <w:t xml:space="preserve">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080581E6" w14:textId="17C9EF74"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r w:rsidR="007D0434">
              <w:rPr>
                <w:rFonts w:eastAsia="Calibri" w:cstheme="minorHAnsi"/>
              </w:rPr>
              <w:t xml:space="preserve"> </w:t>
            </w:r>
            <w:r w:rsidR="007D0434" w:rsidRPr="008224F7">
              <w:rPr>
                <w:rFonts w:eastAsia="Calibri" w:cstheme="minorHAnsi"/>
              </w:rPr>
              <w:t>iGPR</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387D0A85"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E70AAD">
              <w:rPr>
                <w:rFonts w:eastAsia="Calibri" w:cstheme="minorHAnsi"/>
                <w:bCs/>
              </w:rPr>
              <w:t>BOB ICB Meds management team</w:t>
            </w:r>
          </w:p>
        </w:tc>
      </w:tr>
      <w:tr w:rsidR="006D24A0" w:rsidRPr="00954E04" w14:paraId="3E2E9822" w14:textId="77777777" w:rsidTr="00AD412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3FFC2FA3" w14:textId="77777777" w:rsidR="006D24A0" w:rsidRDefault="00E70AAD" w:rsidP="00E70AAD">
            <w:pPr>
              <w:rPr>
                <w:rFonts w:eastAsia="Calibri" w:cstheme="minorHAnsi"/>
                <w:bCs/>
              </w:rPr>
            </w:pPr>
            <w:proofErr w:type="spellStart"/>
            <w:r>
              <w:rPr>
                <w:rFonts w:eastAsia="Calibri" w:cstheme="minorHAnsi"/>
                <w:bCs/>
              </w:rPr>
              <w:t>Fedbucks</w:t>
            </w:r>
            <w:proofErr w:type="spellEnd"/>
          </w:p>
          <w:p w14:paraId="6B4FB75F" w14:textId="6ED793D3" w:rsidR="00E70AAD" w:rsidRPr="00954E04" w:rsidRDefault="00E70AAD" w:rsidP="00E70AAD">
            <w:pPr>
              <w:rPr>
                <w:rFonts w:eastAsia="Calibri" w:cstheme="minorHAnsi"/>
                <w:bCs/>
              </w:rPr>
            </w:pPr>
            <w:r>
              <w:rPr>
                <w:rFonts w:eastAsia="Calibri" w:cstheme="minorHAnsi"/>
                <w:bCs/>
              </w:rPr>
              <w:t>Out of Hours services</w:t>
            </w:r>
          </w:p>
        </w:tc>
        <w:tc>
          <w:tcPr>
            <w:tcW w:w="6044" w:type="dxa"/>
          </w:tcPr>
          <w:p w14:paraId="6C3AAE7F" w14:textId="70DEE07B"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sidR="00E70AAD">
              <w:rPr>
                <w:rFonts w:eastAsia="Calibri" w:cstheme="minorHAnsi"/>
                <w:bCs/>
              </w:rPr>
              <w:t xml:space="preserve"> </w:t>
            </w:r>
            <w:proofErr w:type="spellStart"/>
            <w:r w:rsidR="00E70AAD">
              <w:rPr>
                <w:rFonts w:eastAsia="Calibri" w:cstheme="minorHAnsi"/>
                <w:bCs/>
              </w:rPr>
              <w:t>Fedbucks</w:t>
            </w:r>
            <w:proofErr w:type="spellEnd"/>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42EBF536"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proofErr w:type="spellStart"/>
            <w:r w:rsidR="00E70AAD">
              <w:rPr>
                <w:rFonts w:eastAsia="Calibri" w:cstheme="minorHAnsi"/>
                <w:bCs/>
              </w:rPr>
              <w:t>Fedbucks</w:t>
            </w:r>
            <w:proofErr w:type="spellEnd"/>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524F6DC6"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 t</w:t>
            </w:r>
            <w:r w:rsidR="00E70AAD">
              <w:rPr>
                <w:rFonts w:eastAsia="Calibri" w:cstheme="minorHAnsi"/>
                <w:bCs/>
              </w:rPr>
              <w:t xml:space="preserve">he Chesham and Little Chalfont PCN practices </w:t>
            </w:r>
            <w:r w:rsidRPr="00954E04">
              <w:rPr>
                <w:rFonts w:eastAsia="Calibri" w:cstheme="minorHAnsi"/>
                <w:bCs/>
              </w:rPr>
              <w:t xml:space="preserve">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33F93AE9"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E70AAD">
              <w:rPr>
                <w:rFonts w:eastAsia="Calibri" w:cstheme="minorHAnsi"/>
                <w:bCs/>
              </w:rPr>
              <w:t xml:space="preserve">PCN practice (New Surgery, </w:t>
            </w:r>
            <w:proofErr w:type="spellStart"/>
            <w:r w:rsidR="00E70AAD">
              <w:rPr>
                <w:rFonts w:eastAsia="Calibri" w:cstheme="minorHAnsi"/>
                <w:bCs/>
              </w:rPr>
              <w:t>Watermeadow</w:t>
            </w:r>
            <w:proofErr w:type="spellEnd"/>
            <w:r w:rsidR="00E70AAD">
              <w:rPr>
                <w:rFonts w:eastAsia="Calibri" w:cstheme="minorHAnsi"/>
                <w:bCs/>
              </w:rPr>
              <w:t>, Gladstone, Little Chalfont)</w:t>
            </w:r>
          </w:p>
        </w:tc>
      </w:tr>
      <w:tr w:rsidR="006D24A0" w:rsidRPr="00954E04" w14:paraId="5EE019DE" w14:textId="77777777" w:rsidTr="00AD412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lastRenderedPageBreak/>
              <w:t>Smoking cessation</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37C01486" w14:textId="31E8F371" w:rsidR="006D24A0" w:rsidRPr="00954E04" w:rsidRDefault="006D24A0" w:rsidP="006D24A0">
            <w:pPr>
              <w:jc w:val="both"/>
              <w:rPr>
                <w:rFonts w:eastAsia="Calibri" w:cstheme="minorHAnsi"/>
                <w:bCs/>
              </w:rPr>
            </w:pPr>
            <w:r w:rsidRPr="00954E04">
              <w:rPr>
                <w:rFonts w:eastAsia="Calibri" w:cstheme="minorHAnsi"/>
                <w:b/>
                <w:bCs/>
              </w:rPr>
              <w:t xml:space="preserve">Processor – </w:t>
            </w:r>
            <w:proofErr w:type="spellStart"/>
            <w:r w:rsidR="00E70AAD" w:rsidRPr="00E70AAD">
              <w:rPr>
                <w:rFonts w:eastAsia="Calibri" w:cstheme="minorHAnsi"/>
              </w:rPr>
              <w:t>BeHealthyBucks</w:t>
            </w:r>
            <w:proofErr w:type="spellEnd"/>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380BFC45" w:rsidR="006D24A0" w:rsidRPr="00954E04" w:rsidRDefault="006D24A0" w:rsidP="006D24A0">
            <w:pPr>
              <w:rPr>
                <w:rFonts w:eastAsia="Calibri" w:cstheme="minorHAnsi"/>
                <w:b/>
                <w:bCs/>
              </w:rPr>
            </w:pPr>
            <w:r w:rsidRPr="00954E04">
              <w:rPr>
                <w:rFonts w:eastAsia="Calibri" w:cstheme="minorHAnsi"/>
                <w:b/>
                <w:bCs/>
              </w:rPr>
              <w:t xml:space="preserve">Processor - </w:t>
            </w:r>
            <w:proofErr w:type="spellStart"/>
            <w:r w:rsidR="00E70AAD" w:rsidRPr="00E70AAD">
              <w:rPr>
                <w:rFonts w:eastAsia="Calibri" w:cstheme="minorHAnsi"/>
              </w:rPr>
              <w:t>Fedbucks</w:t>
            </w:r>
            <w:proofErr w:type="spellEnd"/>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11691B85" w14:textId="77777777" w:rsidR="007466F7" w:rsidRDefault="007466F7" w:rsidP="006D24A0">
            <w:pPr>
              <w:jc w:val="both"/>
              <w:rPr>
                <w:rFonts w:eastAsia="Calibri" w:cstheme="minorHAnsi"/>
              </w:rPr>
            </w:pPr>
          </w:p>
          <w:p w14:paraId="0CD2A1F0" w14:textId="02B03101" w:rsidR="007466F7" w:rsidRPr="004D13A3" w:rsidRDefault="007466F7" w:rsidP="007466F7">
            <w:pPr>
              <w:pStyle w:val="ListParagraph"/>
              <w:numPr>
                <w:ilvl w:val="0"/>
                <w:numId w:val="17"/>
              </w:numPr>
              <w:jc w:val="both"/>
              <w:rPr>
                <w:rFonts w:eastAsia="Calibri" w:cstheme="minorHAnsi"/>
              </w:rPr>
            </w:pPr>
            <w:r w:rsidRPr="004D13A3">
              <w:rPr>
                <w:rFonts w:eastAsia="Calibri" w:cstheme="minorHAnsi"/>
              </w:rPr>
              <w:t>Article 6</w:t>
            </w:r>
            <w:r w:rsidR="006E4158" w:rsidRPr="004D13A3">
              <w:rPr>
                <w:rFonts w:eastAsia="Calibri" w:cstheme="minorHAnsi"/>
              </w:rPr>
              <w:t>(</w:t>
            </w:r>
            <w:r w:rsidRPr="004D13A3">
              <w:rPr>
                <w:rFonts w:eastAsia="Calibri" w:cstheme="minorHAnsi"/>
              </w:rPr>
              <w:t>1</w:t>
            </w:r>
            <w:r w:rsidR="006E4158" w:rsidRPr="004D13A3">
              <w:rPr>
                <w:rFonts w:eastAsia="Calibri" w:cstheme="minorHAnsi"/>
              </w:rPr>
              <w:t>)</w:t>
            </w:r>
            <w:r w:rsidRPr="004D13A3">
              <w:rPr>
                <w:rFonts w:eastAsia="Calibri" w:cstheme="minorHAnsi"/>
              </w:rPr>
              <w:t>(e)</w:t>
            </w:r>
            <w:r w:rsidR="00C24BF0" w:rsidRPr="004D13A3">
              <w:rPr>
                <w:rFonts w:eastAsia="Calibri" w:cstheme="minorHAnsi"/>
              </w:rPr>
              <w:t xml:space="preserve"> </w:t>
            </w:r>
            <w:r w:rsidR="00C24BF0" w:rsidRPr="004D13A3">
              <w:rPr>
                <w:rFonts w:cstheme="minorHAnsi"/>
              </w:rPr>
              <w:t>‘…necessary for the performance of a task carried out in the public interest or in the exercise of official authority…’; and</w:t>
            </w:r>
          </w:p>
          <w:p w14:paraId="40860C1B" w14:textId="145BBABA" w:rsidR="007466F7" w:rsidRPr="004D13A3" w:rsidRDefault="007466F7" w:rsidP="007466F7">
            <w:pPr>
              <w:pStyle w:val="ListParagraph"/>
              <w:numPr>
                <w:ilvl w:val="0"/>
                <w:numId w:val="17"/>
              </w:numPr>
              <w:jc w:val="both"/>
              <w:rPr>
                <w:rFonts w:eastAsia="Calibri" w:cstheme="minorHAnsi"/>
              </w:rPr>
            </w:pPr>
            <w:r w:rsidRPr="004D13A3">
              <w:rPr>
                <w:rFonts w:eastAsia="Calibri" w:cstheme="minorHAnsi"/>
              </w:rPr>
              <w:lastRenderedPageBreak/>
              <w:t>Article 6</w:t>
            </w:r>
            <w:r w:rsidR="006E4158" w:rsidRPr="004D13A3">
              <w:rPr>
                <w:rFonts w:eastAsia="Calibri" w:cstheme="minorHAnsi"/>
              </w:rPr>
              <w:t>(</w:t>
            </w:r>
            <w:r w:rsidRPr="004D13A3">
              <w:rPr>
                <w:rFonts w:eastAsia="Calibri" w:cstheme="minorHAnsi"/>
              </w:rPr>
              <w:t>1</w:t>
            </w:r>
            <w:r w:rsidR="006E4158" w:rsidRPr="004D13A3">
              <w:rPr>
                <w:rFonts w:eastAsia="Calibri" w:cstheme="minorHAnsi"/>
              </w:rPr>
              <w:t>)</w:t>
            </w:r>
            <w:r w:rsidRPr="004D13A3">
              <w:rPr>
                <w:rFonts w:eastAsia="Calibri" w:cstheme="minorHAnsi"/>
              </w:rPr>
              <w:t>(f)</w:t>
            </w:r>
            <w:r w:rsidR="006E4158" w:rsidRPr="004D13A3">
              <w:rPr>
                <w:rFonts w:eastAsia="Calibri" w:cstheme="minorHAnsi"/>
              </w:rPr>
              <w:t xml:space="preserve"> ‘necessary for the establishment, exercise or defence of legal claims or whenever courts are acting in their judicial capacity’</w:t>
            </w:r>
          </w:p>
          <w:p w14:paraId="32536556" w14:textId="0C5AB8F9" w:rsidR="006D24A0" w:rsidRDefault="007466F7" w:rsidP="004D13A3">
            <w:pPr>
              <w:pStyle w:val="ListParagraph"/>
              <w:numPr>
                <w:ilvl w:val="0"/>
                <w:numId w:val="17"/>
              </w:numPr>
              <w:jc w:val="both"/>
              <w:rPr>
                <w:rFonts w:eastAsia="Calibri" w:cstheme="minorHAnsi"/>
              </w:rPr>
            </w:pPr>
            <w:r w:rsidRPr="004D13A3">
              <w:rPr>
                <w:rFonts w:eastAsia="Calibri" w:cstheme="minorHAnsi"/>
              </w:rPr>
              <w:t>Article 9</w:t>
            </w:r>
            <w:r w:rsidR="006E4158" w:rsidRPr="004D13A3">
              <w:rPr>
                <w:rFonts w:eastAsia="Calibri" w:cstheme="minorHAnsi"/>
              </w:rPr>
              <w:t>(</w:t>
            </w:r>
            <w:r w:rsidRPr="004D13A3">
              <w:rPr>
                <w:rFonts w:eastAsia="Calibri" w:cstheme="minorHAnsi"/>
              </w:rPr>
              <w:t>2</w:t>
            </w:r>
            <w:r w:rsidR="006E4158" w:rsidRPr="004D13A3">
              <w:rPr>
                <w:rFonts w:eastAsia="Calibri" w:cstheme="minorHAnsi"/>
              </w:rPr>
              <w:t>)</w:t>
            </w:r>
            <w:r w:rsidRPr="004D13A3">
              <w:rPr>
                <w:rFonts w:eastAsia="Calibri" w:cstheme="minorHAnsi"/>
              </w:rPr>
              <w:t>(g</w:t>
            </w:r>
            <w:r w:rsidR="00C24BF0" w:rsidRPr="004D13A3">
              <w:rPr>
                <w:rFonts w:eastAsia="Calibri" w:cstheme="minorHAnsi"/>
              </w:rPr>
              <w:t>)</w:t>
            </w:r>
            <w:r w:rsidR="006E4158" w:rsidRPr="004D13A3">
              <w:rPr>
                <w:rFonts w:eastAsia="Calibri" w:cstheme="minorHAnsi"/>
              </w:rPr>
              <w:t xml:space="preserve"> </w:t>
            </w:r>
            <w:r w:rsidR="004D13A3" w:rsidRPr="004D13A3">
              <w:rPr>
                <w:rFonts w:eastAsia="Calibri" w:cstheme="minorHAnsi"/>
              </w:rPr>
              <w:t>‘necessary</w:t>
            </w:r>
            <w:r w:rsidR="006E4158" w:rsidRPr="004D13A3">
              <w:rPr>
                <w:rFonts w:eastAsia="Calibri" w:cstheme="minorHAnsi"/>
              </w:rPr>
              <w:t xml:space="preserve"> for reasons of substantial public interest’</w:t>
            </w:r>
          </w:p>
          <w:p w14:paraId="499D47AA" w14:textId="77777777" w:rsidR="004D13A3" w:rsidRPr="004D13A3" w:rsidRDefault="004D13A3" w:rsidP="004D13A3">
            <w:pPr>
              <w:pStyle w:val="ListParagraph"/>
              <w:numPr>
                <w:ilvl w:val="0"/>
                <w:numId w:val="17"/>
              </w:numPr>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lastRenderedPageBreak/>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tcPr>
          <w:p w14:paraId="3A544120" w14:textId="5AC894B0" w:rsidR="006D24A0" w:rsidRPr="00D44587" w:rsidRDefault="004D13A3" w:rsidP="006D24A0">
            <w:pPr>
              <w:rPr>
                <w:rFonts w:eastAsia="Calibri" w:cstheme="minorHAnsi"/>
                <w:bCs/>
                <w:highlight w:val="red"/>
              </w:rPr>
            </w:pPr>
            <w:r w:rsidRPr="004D13A3">
              <w:rPr>
                <w:b/>
                <w:bCs/>
              </w:rPr>
              <w:t>C</w:t>
            </w:r>
            <w:r w:rsidR="006D24A0" w:rsidRPr="004D13A3">
              <w:rPr>
                <w:b/>
                <w:bCs/>
              </w:rPr>
              <w:t>ommunity Medical Examiners</w:t>
            </w:r>
            <w:r w:rsidR="006D24A0">
              <w:rPr>
                <w:b/>
                <w:bCs/>
              </w:rPr>
              <w:t xml:space="preserve"> – </w:t>
            </w:r>
            <w:r w:rsidR="00E70AAD">
              <w:rPr>
                <w:b/>
                <w:bCs/>
              </w:rPr>
              <w:t>Buckinghamshire</w:t>
            </w:r>
          </w:p>
        </w:tc>
        <w:tc>
          <w:tcPr>
            <w:tcW w:w="6044" w:type="dxa"/>
          </w:tcPr>
          <w:p w14:paraId="78C9A046" w14:textId="498EEC1C"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9B11E4">
              <w:rPr>
                <w:color w:val="auto"/>
                <w:sz w:val="22"/>
                <w:szCs w:val="22"/>
                <w:lang w:eastAsia="en-US"/>
              </w:rPr>
              <w:t>BHT.</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D533F17" w14:textId="0139AFE3" w:rsidR="006D24A0" w:rsidRPr="008224F7" w:rsidRDefault="006D24A0" w:rsidP="008224F7">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9B11E4">
              <w:rPr>
                <w:rStyle w:val="textcorrect"/>
              </w:rPr>
              <w:t>BHT</w:t>
            </w: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4D13A3">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3822ADB9"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9B11E4">
              <w:rPr>
                <w:rFonts w:eastAsia="Calibri" w:cstheme="minorHAnsi"/>
                <w:bCs/>
              </w:rPr>
              <w:t>–</w:t>
            </w:r>
            <w:r w:rsidRPr="00954E04">
              <w:rPr>
                <w:rFonts w:eastAsia="Calibri" w:cstheme="minorHAnsi"/>
                <w:bCs/>
              </w:rPr>
              <w:t xml:space="preserve"> </w:t>
            </w:r>
            <w:r w:rsidR="009B11E4">
              <w:rPr>
                <w:rFonts w:eastAsia="Calibri" w:cstheme="minorHAnsi"/>
                <w:bCs/>
              </w:rPr>
              <w:t>BUOA, Virgin Care etc</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4B6AD6ED"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r w:rsidR="004D13A3" w:rsidRPr="00954E04">
              <w:rPr>
                <w:rFonts w:eastAsia="Calibri" w:cstheme="minorHAnsi"/>
                <w:bCs/>
              </w:rPr>
              <w:t>patients’</w:t>
            </w:r>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78425C47" w:rsidR="006D24A0" w:rsidRPr="00954E04" w:rsidRDefault="006D24A0" w:rsidP="006D24A0">
            <w:pPr>
              <w:jc w:val="both"/>
              <w:rPr>
                <w:rFonts w:eastAsia="Calibri" w:cstheme="minorHAnsi"/>
                <w:b/>
                <w:bCs/>
              </w:rPr>
            </w:pPr>
            <w:r w:rsidRPr="00954E04">
              <w:rPr>
                <w:rFonts w:eastAsia="Calibri" w:cstheme="minorHAnsi"/>
                <w:b/>
                <w:bCs/>
              </w:rPr>
              <w:t>Pr</w:t>
            </w:r>
            <w:r w:rsidR="008224F7">
              <w:rPr>
                <w:rFonts w:eastAsia="Calibri" w:cstheme="minorHAnsi"/>
                <w:b/>
                <w:bCs/>
              </w:rPr>
              <w:t>ocessor</w:t>
            </w:r>
            <w:r w:rsidRPr="00954E04">
              <w:rPr>
                <w:rFonts w:eastAsia="Calibri" w:cstheme="minorHAnsi"/>
                <w:b/>
                <w:bCs/>
              </w:rPr>
              <w:t xml:space="preserve"> </w:t>
            </w:r>
            <w:r w:rsidR="009B11E4">
              <w:rPr>
                <w:rFonts w:eastAsia="Calibri" w:cstheme="minorHAnsi"/>
                <w:b/>
                <w:bCs/>
              </w:rPr>
              <w:t>–</w:t>
            </w:r>
            <w:r w:rsidRPr="00954E04">
              <w:rPr>
                <w:rFonts w:eastAsia="Calibri" w:cstheme="minorHAnsi"/>
                <w:b/>
                <w:bCs/>
              </w:rPr>
              <w:t xml:space="preserve"> </w:t>
            </w:r>
            <w:proofErr w:type="spellStart"/>
            <w:r w:rsidRPr="009B11E4">
              <w:rPr>
                <w:rFonts w:eastAsia="Calibri" w:cstheme="minorHAnsi"/>
                <w:bCs/>
              </w:rPr>
              <w:t>AccuRX</w:t>
            </w:r>
            <w:proofErr w:type="spellEnd"/>
            <w:r w:rsidR="009B11E4" w:rsidRPr="009B11E4">
              <w:rPr>
                <w:rFonts w:eastAsia="Calibri" w:cstheme="minorHAnsi"/>
                <w:bCs/>
              </w:rPr>
              <w:t xml:space="preserve">, </w:t>
            </w:r>
            <w:r w:rsidRPr="009B11E4">
              <w:rPr>
                <w:rFonts w:eastAsia="Calibri" w:cstheme="minorHAnsi"/>
                <w:bCs/>
              </w:rPr>
              <w:t>NHSAPP</w:t>
            </w:r>
            <w:r>
              <w:rPr>
                <w:rFonts w:eastAsia="Calibri" w:cstheme="minorHAnsi"/>
                <w:bCs/>
              </w:rPr>
              <w:t xml:space="preserve"> </w:t>
            </w:r>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2F7D4F1F" w:rsidR="006D24A0" w:rsidRPr="00954E04" w:rsidRDefault="006D24A0" w:rsidP="006D24A0">
            <w:pPr>
              <w:jc w:val="both"/>
              <w:rPr>
                <w:rFonts w:ascii="Calibri" w:eastAsia="Calibri" w:hAnsi="Calibri" w:cstheme="minorHAnsi"/>
                <w:bCs/>
              </w:rPr>
            </w:pPr>
            <w:r w:rsidRPr="00954E04">
              <w:rPr>
                <w:rFonts w:eastAsia="Calibri" w:cstheme="minorHAnsi"/>
                <w:b/>
                <w:bCs/>
              </w:rPr>
              <w:t xml:space="preserve">Processor </w:t>
            </w:r>
            <w:r w:rsidRPr="009B11E4">
              <w:rPr>
                <w:rFonts w:eastAsia="Calibri" w:cstheme="minorHAnsi"/>
                <w:b/>
                <w:bCs/>
              </w:rPr>
              <w:t xml:space="preserve">– </w:t>
            </w:r>
            <w:r w:rsidRPr="009B11E4">
              <w:rPr>
                <w:rFonts w:eastAsia="Calibri" w:cstheme="minorHAnsi"/>
                <w:bCs/>
              </w:rPr>
              <w:t xml:space="preserve">e-Consult, </w:t>
            </w:r>
            <w:proofErr w:type="spellStart"/>
            <w:r w:rsidRPr="009B11E4">
              <w:rPr>
                <w:rFonts w:eastAsia="Calibri" w:cstheme="minorHAnsi"/>
                <w:bCs/>
              </w:rPr>
              <w:t>AccuRX</w:t>
            </w:r>
            <w:proofErr w:type="spellEnd"/>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61640094"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r w:rsidR="008224F7">
              <w:rPr>
                <w:rFonts w:cstheme="minorHAnsi"/>
                <w:shd w:val="clear" w:color="auto" w:fill="FFFFFF"/>
              </w:rPr>
              <w:t>long-term</w:t>
            </w:r>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37E83529" w:rsidR="006D24A0" w:rsidRPr="00954E04" w:rsidRDefault="006D24A0" w:rsidP="006D24A0">
            <w:pPr>
              <w:jc w:val="both"/>
              <w:rPr>
                <w:rFonts w:eastAsia="Calibri" w:cstheme="minorHAnsi"/>
                <w:b/>
                <w:bCs/>
              </w:rPr>
            </w:pPr>
            <w:r w:rsidRPr="00954E04">
              <w:rPr>
                <w:rFonts w:eastAsia="Calibri" w:cstheme="minorHAnsi"/>
                <w:b/>
                <w:bCs/>
              </w:rPr>
              <w:t xml:space="preserve">Processor – </w:t>
            </w:r>
            <w:proofErr w:type="spellStart"/>
            <w:r w:rsidR="009B11E4">
              <w:rPr>
                <w:rFonts w:eastAsia="Calibri" w:cstheme="minorHAnsi"/>
              </w:rPr>
              <w:t>eg</w:t>
            </w:r>
            <w:proofErr w:type="spellEnd"/>
            <w:r w:rsidR="009B11E4">
              <w:rPr>
                <w:rFonts w:eastAsia="Calibri" w:cstheme="minorHAnsi"/>
              </w:rPr>
              <w:t xml:space="preserve"> BHT</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54C14389" w:rsidR="006D24A0" w:rsidRPr="00954E04" w:rsidRDefault="006D24A0" w:rsidP="006D24A0">
            <w:pPr>
              <w:numPr>
                <w:ilvl w:val="0"/>
                <w:numId w:val="2"/>
              </w:numPr>
              <w:contextualSpacing/>
            </w:pPr>
            <w:r w:rsidRPr="00954E04">
              <w:t xml:space="preserve">At risk </w:t>
            </w:r>
            <w:r w:rsidR="004D13A3" w:rsidRPr="00954E04">
              <w:t>patients’</w:t>
            </w:r>
            <w:r w:rsidRPr="00954E04">
              <w:t xml:space="preserve">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1EE8B6DB" w:rsidR="006D24A0" w:rsidRPr="00954E04" w:rsidRDefault="006D24A0" w:rsidP="006D24A0">
            <w:r w:rsidRPr="00954E04">
              <w:rPr>
                <w:b/>
                <w:bCs/>
              </w:rPr>
              <w:t>Purpose –</w:t>
            </w:r>
            <w:r w:rsidRPr="00954E04">
              <w:t xml:space="preserve"> </w:t>
            </w:r>
            <w:r w:rsidRPr="0053543D">
              <w:t xml:space="preserve">GP practices are required to provide data extraction of their </w:t>
            </w:r>
            <w:r w:rsidR="004D13A3" w:rsidRPr="0053543D">
              <w:t>patients’</w:t>
            </w:r>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w:t>
            </w:r>
            <w:r w:rsidR="004D13A3" w:rsidRPr="00954E04">
              <w:t>extraction;</w:t>
            </w:r>
            <w:r w:rsidRPr="00954E04">
              <w:t xml:space="preserve">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3"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33DCA8D4" w14:textId="42EDD602" w:rsidR="006D24A0" w:rsidRPr="00954E04" w:rsidRDefault="006D24A0" w:rsidP="006D24A0">
            <w:pPr>
              <w:numPr>
                <w:ilvl w:val="0"/>
                <w:numId w:val="3"/>
              </w:numPr>
              <w:contextualSpacing/>
            </w:pPr>
            <w:hyperlink r:id="rId14"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2E981DAF" w:rsidR="006D24A0" w:rsidRDefault="006D24A0" w:rsidP="006D24A0">
            <w:pPr>
              <w:numPr>
                <w:ilvl w:val="0"/>
                <w:numId w:val="3"/>
              </w:numPr>
              <w:contextualSpacing/>
            </w:pPr>
            <w:hyperlink r:id="rId15" w:history="1">
              <w:r w:rsidRPr="00954E04">
                <w:rPr>
                  <w:color w:val="0000FF" w:themeColor="hyperlink"/>
                  <w:u w:val="single"/>
                </w:rPr>
                <w:t>GPES Physical Health Checks for people with Severe Mental Illness (PHSMI) data collection</w:t>
              </w:r>
            </w:hyperlink>
            <w:r w:rsidRPr="00954E04">
              <w:t>.</w:t>
            </w:r>
          </w:p>
          <w:p w14:paraId="4885BC5F" w14:textId="77777777" w:rsidR="00DB541B" w:rsidRDefault="00DB541B" w:rsidP="00DB541B">
            <w:pPr>
              <w:pStyle w:val="ListParagraph"/>
            </w:pPr>
          </w:p>
          <w:p w14:paraId="1CB78C15" w14:textId="5B73AC5D" w:rsidR="00DB541B" w:rsidRPr="00954E04" w:rsidRDefault="00DB541B" w:rsidP="006D24A0">
            <w:pPr>
              <w:numPr>
                <w:ilvl w:val="0"/>
                <w:numId w:val="3"/>
              </w:numPr>
              <w:contextualSpacing/>
            </w:pPr>
            <w:hyperlink r:id="rId16" w:history="1">
              <w:r>
                <w:rPr>
                  <w:rStyle w:val="Hyperlink"/>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r w:rsidRPr="00196EFB">
              <w:rPr>
                <w:bCs/>
              </w:rPr>
              <w:t>The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7"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4114EB" w:rsidRPr="00954E04" w14:paraId="4FB079D8" w14:textId="77777777" w:rsidTr="00BD3CD3">
        <w:trPr>
          <w:trHeight w:val="8354"/>
        </w:trPr>
        <w:tc>
          <w:tcPr>
            <w:tcW w:w="2972" w:type="dxa"/>
          </w:tcPr>
          <w:p w14:paraId="4BD97AAD" w14:textId="77777777" w:rsidR="004114EB" w:rsidRPr="004114EB" w:rsidRDefault="004114EB" w:rsidP="004114EB">
            <w:r w:rsidRPr="004114EB">
              <w:lastRenderedPageBreak/>
              <w:t>OpenSAFELY COVID-19 and Data Analytics Services</w:t>
            </w:r>
          </w:p>
          <w:p w14:paraId="6388973A" w14:textId="3683DC26" w:rsidR="004114EB" w:rsidRPr="00954E04" w:rsidRDefault="004114EB" w:rsidP="006D24A0"/>
        </w:tc>
        <w:tc>
          <w:tcPr>
            <w:tcW w:w="6044" w:type="dxa"/>
          </w:tcPr>
          <w:p w14:paraId="75BFE068" w14:textId="77777777" w:rsidR="004114EB" w:rsidRDefault="004114EB" w:rsidP="004114EB">
            <w:pPr>
              <w:rPr>
                <w:b/>
                <w:bCs/>
              </w:rPr>
            </w:pPr>
            <w:r>
              <w:rPr>
                <w:b/>
                <w:bCs/>
              </w:rPr>
              <w:t>Purpose</w:t>
            </w:r>
            <w:r w:rsidRPr="00954E04">
              <w:rPr>
                <w:b/>
                <w:bCs/>
              </w:rPr>
              <w:t xml:space="preserve">: </w:t>
            </w:r>
          </w:p>
          <w:p w14:paraId="3AA0EB02" w14:textId="1DA59E8A" w:rsidR="004114EB" w:rsidRPr="004114EB" w:rsidRDefault="004114EB" w:rsidP="004114EB">
            <w:r w:rsidRPr="004114EB">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74DCF3DC" w14:textId="77777777" w:rsidR="004114EB" w:rsidRPr="004114EB" w:rsidRDefault="004114EB" w:rsidP="004114EB"/>
          <w:p w14:paraId="4A646D37" w14:textId="77777777" w:rsidR="004114EB" w:rsidRPr="004114EB" w:rsidRDefault="004114EB" w:rsidP="004114EB">
            <w:r w:rsidRPr="004114EB">
              <w:t>Each GP practice remains the controller of its own GP patient data but is required to let approved users run queries on pseudonymised patient data. This means identifiers are removed and replaced with a pseudonym.</w:t>
            </w:r>
          </w:p>
          <w:p w14:paraId="14E5EE25" w14:textId="77777777" w:rsidR="004114EB" w:rsidRPr="004114EB" w:rsidRDefault="004114EB" w:rsidP="004114EB"/>
          <w:p w14:paraId="09BEA762" w14:textId="77777777" w:rsidR="004114EB" w:rsidRDefault="004114EB" w:rsidP="004114EB">
            <w:r w:rsidRPr="004114EB">
              <w:t>Only approved users are allowed to run these queries, and they will not be able to access information that directly or indirectly identifies individuals.</w:t>
            </w:r>
          </w:p>
          <w:p w14:paraId="3ABA5121" w14:textId="77777777" w:rsidR="004114EB" w:rsidRDefault="004114EB" w:rsidP="004114EB"/>
          <w:p w14:paraId="09D884F5" w14:textId="77777777" w:rsidR="004114EB" w:rsidRPr="007D0FB5" w:rsidRDefault="004114EB" w:rsidP="004114EB">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D6CB1AB" w14:textId="77777777" w:rsidR="004114EB" w:rsidRDefault="004114EB" w:rsidP="004114EB">
            <w:pPr>
              <w:spacing w:after="120" w:line="276" w:lineRule="auto"/>
            </w:pPr>
            <w:r>
              <w:t xml:space="preserve">UK GDPR – Article 6 basis: </w:t>
            </w:r>
          </w:p>
          <w:p w14:paraId="7DE8CBFA" w14:textId="77777777" w:rsidR="004114EB" w:rsidRDefault="004114EB" w:rsidP="004114EB">
            <w:pPr>
              <w:spacing w:after="120" w:line="276" w:lineRule="auto"/>
            </w:pPr>
            <w:r>
              <w:t xml:space="preserve">UK GDPR Article 6(1)(c) - processing is necessary for compliance with a legal obligation to which the controller is subject (the Directions). </w:t>
            </w:r>
          </w:p>
          <w:p w14:paraId="66E63486" w14:textId="77777777" w:rsidR="004114EB" w:rsidRDefault="004114EB" w:rsidP="004114EB">
            <w:pPr>
              <w:spacing w:after="120" w:line="276" w:lineRule="auto"/>
            </w:pPr>
            <w:r>
              <w:t xml:space="preserve">UK GDPR Article 9 basis: </w:t>
            </w:r>
          </w:p>
          <w:p w14:paraId="2879D884" w14:textId="77777777" w:rsidR="004114EB" w:rsidRDefault="004114EB" w:rsidP="004114EB">
            <w:pPr>
              <w:spacing w:after="120" w:line="276" w:lineRule="auto"/>
            </w:pPr>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w:t>
            </w:r>
            <w:r>
              <w:lastRenderedPageBreak/>
              <w:t xml:space="preserve">interests of the data subject, by virtue of compliance with a direction  supplemented by: </w:t>
            </w:r>
          </w:p>
          <w:p w14:paraId="0886B51E" w14:textId="77777777" w:rsidR="004114EB" w:rsidRPr="004114EB" w:rsidRDefault="004114EB" w:rsidP="004114EB"/>
          <w:p w14:paraId="72280A41" w14:textId="77777777" w:rsidR="004114EB" w:rsidRPr="004114EB" w:rsidRDefault="004114EB" w:rsidP="004114EB">
            <w:r w:rsidRPr="004114EB">
              <w:t>Patients who do not wish for their data to be used as part of this process can register a </w:t>
            </w:r>
            <w:hyperlink r:id="rId18" w:history="1">
              <w:r w:rsidRPr="004114EB">
                <w:rPr>
                  <w:rStyle w:val="Hyperlink"/>
                </w:rPr>
                <w:t>type 1 opt out</w:t>
              </w:r>
            </w:hyperlink>
            <w:r w:rsidRPr="004114EB">
              <w:t> with their GP.</w:t>
            </w:r>
          </w:p>
          <w:p w14:paraId="6C583163" w14:textId="77777777" w:rsidR="004114EB" w:rsidRDefault="004114EB" w:rsidP="004114EB">
            <w:pPr>
              <w:rPr>
                <w:rFonts w:eastAsia="Calibri" w:cstheme="minorHAnsi"/>
                <w:b/>
                <w:bCs/>
              </w:rPr>
            </w:pPr>
            <w:r w:rsidRPr="004114EB">
              <w:t>Here you can find </w:t>
            </w:r>
            <w:hyperlink r:id="rId19" w:history="1">
              <w:r w:rsidRPr="004114EB">
                <w:rPr>
                  <w:rStyle w:val="Hyperlink"/>
                </w:rPr>
                <w:t>additional information about OpenSAFELY</w:t>
              </w:r>
            </w:hyperlink>
            <w:r w:rsidRPr="004114EB">
              <w:t>."</w:t>
            </w:r>
            <w:r w:rsidRPr="00954E04">
              <w:rPr>
                <w:rFonts w:eastAsia="Calibri" w:cstheme="minorHAnsi"/>
                <w:b/>
                <w:bCs/>
              </w:rPr>
              <w:t xml:space="preserve"> </w:t>
            </w:r>
          </w:p>
          <w:p w14:paraId="4FADB055" w14:textId="77777777" w:rsidR="004114EB" w:rsidRDefault="004114EB" w:rsidP="004114EB">
            <w:pPr>
              <w:rPr>
                <w:rFonts w:eastAsia="Calibri" w:cstheme="minorHAnsi"/>
                <w:b/>
                <w:bCs/>
              </w:rPr>
            </w:pPr>
          </w:p>
          <w:p w14:paraId="0A1E83BC" w14:textId="0EB999D7" w:rsidR="004114EB" w:rsidRPr="004D13A3" w:rsidRDefault="004114EB" w:rsidP="004D13A3">
            <w:pPr>
              <w:pBdr>
                <w:top w:val="nil"/>
                <w:left w:val="nil"/>
                <w:bottom w:val="nil"/>
                <w:right w:val="nil"/>
                <w:between w:val="nil"/>
              </w:pBdr>
              <w:rPr>
                <w:rFonts w:eastAsia="Calibri" w:cstheme="minorHAnsi"/>
                <w:b/>
                <w:bCs/>
              </w:rPr>
            </w:pPr>
            <w:r>
              <w:rPr>
                <w:rFonts w:eastAsia="Calibri" w:cstheme="minorHAnsi"/>
                <w:b/>
                <w:bCs/>
              </w:rPr>
              <w:t>P</w:t>
            </w:r>
            <w:r w:rsidRPr="00954E04">
              <w:rPr>
                <w:rFonts w:eastAsia="Calibri" w:cstheme="minorHAnsi"/>
                <w:b/>
                <w:bCs/>
              </w:rPr>
              <w:t>rocessor</w:t>
            </w:r>
            <w:r>
              <w:rPr>
                <w:rFonts w:eastAsia="Calibri" w:cstheme="minorHAnsi"/>
                <w:b/>
                <w:bCs/>
              </w:rPr>
              <w:t xml:space="preserve">: </w:t>
            </w:r>
            <w:r w:rsidRPr="004114EB">
              <w:t>NHS England</w:t>
            </w:r>
            <w:r w:rsidR="00A27763">
              <w:t xml:space="preserve">, </w:t>
            </w:r>
            <w:r w:rsidRPr="009B11E4">
              <w:t>EMIS</w:t>
            </w:r>
          </w:p>
        </w:tc>
      </w:tr>
      <w:tr w:rsidR="006D24A0" w:rsidRPr="00954E04" w14:paraId="35FAD892" w14:textId="77777777" w:rsidTr="00AD412F">
        <w:tc>
          <w:tcPr>
            <w:tcW w:w="2972" w:type="dxa"/>
          </w:tcPr>
          <w:p w14:paraId="68845178" w14:textId="77777777" w:rsidR="006D24A0" w:rsidRPr="00954E04" w:rsidRDefault="006D24A0" w:rsidP="006D24A0">
            <w:r w:rsidRPr="00954E04">
              <w:lastRenderedPageBreak/>
              <w:t>Medication/Prescribing</w:t>
            </w:r>
          </w:p>
        </w:tc>
        <w:tc>
          <w:tcPr>
            <w:tcW w:w="6044" w:type="dxa"/>
          </w:tcPr>
          <w:p w14:paraId="34421947" w14:textId="19FCFB59" w:rsidR="005D2814" w:rsidRDefault="006D24A0" w:rsidP="006D24A0">
            <w:pPr>
              <w:rPr>
                <w:b/>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w:t>
            </w:r>
            <w:r w:rsidR="004D13A3" w:rsidRPr="00954E04">
              <w:rPr>
                <w:bCs/>
              </w:rPr>
              <w:t>face-to-face</w:t>
            </w:r>
            <w:r w:rsidRPr="00954E04">
              <w:rPr>
                <w:bCs/>
              </w:rPr>
              <w:t xml:space="preserve"> contact with the patient or electronically.</w:t>
            </w:r>
            <w:r w:rsidRPr="00954E04">
              <w:rPr>
                <w:b/>
                <w:bCs/>
              </w:rPr>
              <w:t xml:space="preserve"> </w:t>
            </w:r>
          </w:p>
          <w:p w14:paraId="687F7A93" w14:textId="77777777" w:rsidR="005D2814" w:rsidRDefault="005D2814" w:rsidP="006D24A0">
            <w:pPr>
              <w:rPr>
                <w:b/>
                <w:bCs/>
              </w:rPr>
            </w:pPr>
          </w:p>
          <w:p w14:paraId="3736643A" w14:textId="66D084B1" w:rsidR="006D24A0" w:rsidRPr="00954E04" w:rsidRDefault="006D24A0" w:rsidP="006D24A0">
            <w:pPr>
              <w:rPr>
                <w:bCs/>
              </w:rPr>
            </w:pP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9B11E4">
              <w:lastRenderedPageBreak/>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76116295" w14:textId="77777777" w:rsidR="006D24A0" w:rsidRPr="00760EF7" w:rsidRDefault="006D24A0" w:rsidP="006D24A0">
            <w:pPr>
              <w:rPr>
                <w:bCs/>
              </w:rPr>
            </w:pPr>
          </w:p>
          <w:p w14:paraId="13FFED0F" w14:textId="65CC0B42" w:rsidR="006D24A0" w:rsidRPr="00703C18" w:rsidRDefault="006D24A0" w:rsidP="006D24A0">
            <w:pPr>
              <w:rPr>
                <w:bCs/>
              </w:rPr>
            </w:pPr>
            <w:r w:rsidRPr="00760EF7">
              <w:rPr>
                <w:b/>
                <w:bCs/>
              </w:rPr>
              <w:t>Processor</w:t>
            </w:r>
            <w:r w:rsidRPr="00760EF7">
              <w:rPr>
                <w:bCs/>
              </w:rPr>
              <w:t xml:space="preserve"> – </w:t>
            </w:r>
            <w:r w:rsidRPr="009B11E4">
              <w:rPr>
                <w:bCs/>
              </w:rPr>
              <w:t>RCGP, HEE</w:t>
            </w:r>
          </w:p>
        </w:tc>
      </w:tr>
      <w:tr w:rsidR="006D24A0" w:rsidRPr="00954E04" w14:paraId="246CB3E6" w14:textId="77777777" w:rsidTr="00BD3CD3">
        <w:trPr>
          <w:trHeight w:val="1125"/>
        </w:trPr>
        <w:tc>
          <w:tcPr>
            <w:tcW w:w="2972" w:type="dxa"/>
          </w:tcPr>
          <w:p w14:paraId="247F2637" w14:textId="77777777" w:rsidR="006D24A0" w:rsidRPr="00760EF7" w:rsidRDefault="006D24A0" w:rsidP="006D24A0">
            <w:r w:rsidRPr="009B11E4">
              <w:t>Telephony</w:t>
            </w:r>
          </w:p>
        </w:tc>
        <w:tc>
          <w:tcPr>
            <w:tcW w:w="6044" w:type="dxa"/>
          </w:tcPr>
          <w:p w14:paraId="434D3227" w14:textId="108DC04A" w:rsidR="001D52B4" w:rsidRPr="007F7368" w:rsidRDefault="006D24A0" w:rsidP="001D52B4">
            <w:pPr>
              <w:spacing w:after="200" w:line="276" w:lineRule="auto"/>
              <w:rPr>
                <w:color w:val="000000" w:themeColor="text1"/>
              </w:rPr>
            </w:pPr>
            <w:r w:rsidRPr="00760EF7">
              <w:rPr>
                <w:b/>
                <w:bCs/>
              </w:rPr>
              <w:t xml:space="preserve">Purpose – </w:t>
            </w:r>
            <w:r w:rsidRPr="00760EF7">
              <w:rPr>
                <w:bCs/>
              </w:rPr>
              <w:t xml:space="preserve">The practice </w:t>
            </w:r>
            <w:r w:rsidR="004D13A3" w:rsidRPr="00760EF7">
              <w:rPr>
                <w:bCs/>
              </w:rPr>
              <w:t>uses</w:t>
            </w:r>
            <w:r w:rsidRPr="00760EF7">
              <w:rPr>
                <w:bCs/>
              </w:rPr>
              <w:t xml:space="preserve"> an</w:t>
            </w:r>
            <w:r w:rsidR="004D13A3">
              <w:rPr>
                <w:bCs/>
              </w:rPr>
              <w:t xml:space="preserve"> </w:t>
            </w:r>
            <w:r w:rsidR="004D13A3" w:rsidRPr="00760EF7">
              <w:rPr>
                <w:bCs/>
              </w:rPr>
              <w:t>internet-based</w:t>
            </w:r>
            <w:r w:rsidRPr="00760EF7">
              <w:rPr>
                <w:bCs/>
              </w:rPr>
              <w:t xml:space="preserve">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r w:rsidR="006215A8">
              <w:rPr>
                <w:bCs/>
              </w:rPr>
              <w:t xml:space="preserve">  </w:t>
            </w:r>
            <w:bookmarkStart w:id="0" w:name="_Hlk159313642"/>
            <w:r w:rsidR="001D52B4" w:rsidRPr="007F7368">
              <w:rPr>
                <w:color w:val="000000" w:themeColor="text1"/>
              </w:rPr>
              <w:t xml:space="preserve">We record </w:t>
            </w:r>
            <w:r w:rsidR="001D52B4" w:rsidRPr="009B11E4">
              <w:rPr>
                <w:color w:val="000000" w:themeColor="text1"/>
              </w:rPr>
              <w:t>incoming and outgoing calls.</w:t>
            </w:r>
          </w:p>
          <w:p w14:paraId="0389E3BB" w14:textId="77777777" w:rsidR="001D52B4" w:rsidRPr="007F7368" w:rsidRDefault="001D52B4" w:rsidP="001D52B4">
            <w:pPr>
              <w:pStyle w:val="xxmsonormal"/>
              <w:rPr>
                <w:color w:val="000000" w:themeColor="text1"/>
              </w:rPr>
            </w:pPr>
            <w:r w:rsidRPr="007F7368">
              <w:rPr>
                <w:color w:val="000000" w:themeColor="text1"/>
              </w:rPr>
              <w:t xml:space="preserve">Our phone system is set to automatically retain calls for </w:t>
            </w:r>
            <w:r w:rsidRPr="009B11E4">
              <w:rPr>
                <w:color w:val="000000" w:themeColor="text1"/>
              </w:rPr>
              <w:t>30</w:t>
            </w:r>
            <w:r w:rsidRPr="007F7368">
              <w:rPr>
                <w:color w:val="000000" w:themeColor="text1"/>
              </w:rPr>
              <w:t xml:space="preserve"> days. After this point, the recordings are automatically deleted. The </w:t>
            </w:r>
            <w:r w:rsidRPr="009B11E4">
              <w:rPr>
                <w:color w:val="000000" w:themeColor="text1"/>
              </w:rPr>
              <w:t>30</w:t>
            </w:r>
            <w:r w:rsidRPr="007F7368">
              <w:rPr>
                <w:color w:val="000000" w:themeColor="text1"/>
              </w:rPr>
              <w:t xml:space="preserve">-day retention period enables us to download and retain exact and unaltered copies of calls where required for medico-legal purposes. </w:t>
            </w:r>
          </w:p>
          <w:bookmarkEnd w:id="0"/>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1A2A451E" w:rsidR="006D24A0" w:rsidRPr="00760EF7" w:rsidRDefault="006D24A0" w:rsidP="006D24A0">
            <w:pPr>
              <w:rPr>
                <w:bCs/>
              </w:rPr>
            </w:pPr>
            <w:r w:rsidRPr="00760EF7">
              <w:rPr>
                <w:b/>
                <w:bCs/>
              </w:rPr>
              <w:lastRenderedPageBreak/>
              <w:t xml:space="preserve">Provider – </w:t>
            </w:r>
            <w:r w:rsidRPr="009B11E4">
              <w:rPr>
                <w:bCs/>
              </w:rPr>
              <w:t>Surgery Connect – X-ON</w:t>
            </w:r>
          </w:p>
        </w:tc>
      </w:tr>
      <w:tr w:rsidR="006D24A0" w:rsidRPr="00954E04" w14:paraId="0342850A" w14:textId="77777777" w:rsidTr="00AD412F">
        <w:tc>
          <w:tcPr>
            <w:tcW w:w="2972" w:type="dxa"/>
          </w:tcPr>
          <w:p w14:paraId="793E41E9" w14:textId="77777777" w:rsidR="006D24A0" w:rsidRPr="009B11E4" w:rsidRDefault="006D24A0" w:rsidP="006D24A0">
            <w:r w:rsidRPr="009B11E4">
              <w:lastRenderedPageBreak/>
              <w:t>Learning Disability Mortality Programme</w:t>
            </w:r>
          </w:p>
          <w:p w14:paraId="64739329" w14:textId="67B86112" w:rsidR="006D24A0" w:rsidRPr="00954E04" w:rsidRDefault="006D24A0" w:rsidP="006D24A0">
            <w:proofErr w:type="spellStart"/>
            <w:r w:rsidRPr="009B11E4">
              <w:t>LeDer</w:t>
            </w:r>
            <w:proofErr w:type="spellEnd"/>
            <w:r w:rsidRPr="009B11E4">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1B128064" w:rsidR="006D24A0" w:rsidRPr="00954E04" w:rsidRDefault="004D13A3" w:rsidP="006D24A0">
            <w:pPr>
              <w:rPr>
                <w:b/>
                <w:bCs/>
              </w:rPr>
            </w:pPr>
            <w:r w:rsidRPr="00954E04">
              <w:rPr>
                <w:b/>
                <w:bCs/>
              </w:rPr>
              <w:t>Processor:</w:t>
            </w:r>
            <w:r w:rsidR="006D24A0">
              <w:rPr>
                <w:b/>
                <w:bCs/>
              </w:rPr>
              <w:t xml:space="preserve"> </w:t>
            </w:r>
            <w:r w:rsidR="006D24A0" w:rsidRPr="009B11E4">
              <w:t>ICB, NHS England</w:t>
            </w:r>
          </w:p>
        </w:tc>
      </w:tr>
      <w:tr w:rsidR="00E42C7D" w:rsidRPr="00954E04" w14:paraId="24C66572" w14:textId="77777777" w:rsidTr="00B65A5D">
        <w:tc>
          <w:tcPr>
            <w:tcW w:w="2972" w:type="dxa"/>
          </w:tcPr>
          <w:p w14:paraId="0318F1C5" w14:textId="77777777" w:rsidR="00E42C7D" w:rsidRPr="00767AE0" w:rsidRDefault="00E42C7D" w:rsidP="00B65A5D">
            <w:pPr>
              <w:rPr>
                <w:highlight w:val="yellow"/>
              </w:rPr>
            </w:pPr>
            <w:bookmarkStart w:id="1" w:name="_Hlk78289214"/>
            <w:r>
              <w:t>GP Connect</w:t>
            </w:r>
          </w:p>
        </w:tc>
        <w:tc>
          <w:tcPr>
            <w:tcW w:w="6044" w:type="dxa"/>
          </w:tcPr>
          <w:p w14:paraId="6EFFB9AD" w14:textId="77777777" w:rsidR="00E42C7D" w:rsidRDefault="00E42C7D" w:rsidP="00B65A5D">
            <w:r>
              <w:rPr>
                <w:b/>
              </w:rPr>
              <w:t xml:space="preserve">Purpose: </w:t>
            </w:r>
            <w:r>
              <w:rPr>
                <w:bCs/>
              </w:rPr>
              <w:t>In order for the practice to have access to a shared record, the Integrated Care Service has commissioned a number of systems including</w:t>
            </w:r>
            <w:r>
              <w:t xml:space="preserve"> </w:t>
            </w:r>
            <w:r w:rsidRPr="0011240C">
              <w:rPr>
                <w:b/>
                <w:bCs/>
              </w:rPr>
              <w:t>GP Connect</w:t>
            </w:r>
            <w:r>
              <w:rPr>
                <w:bCs/>
              </w:rPr>
              <w:t xml:space="preserve">, which is managed by NHS England. </w:t>
            </w:r>
            <w:hyperlink r:id="rId20" w:history="1">
              <w:r w:rsidRPr="00061E72">
                <w:rPr>
                  <w:rStyle w:val="Hyperlink"/>
                </w:rPr>
                <w:t>GP Connect - NHS England Digital</w:t>
              </w:r>
            </w:hyperlink>
          </w:p>
          <w:p w14:paraId="63831B02" w14:textId="77777777" w:rsidR="00E42C7D" w:rsidRDefault="00E42C7D" w:rsidP="00B65A5D">
            <w:pPr>
              <w:rPr>
                <w:bCs/>
              </w:rPr>
            </w:pPr>
          </w:p>
          <w:p w14:paraId="37B0018E" w14:textId="77777777" w:rsidR="00E42C7D" w:rsidRPr="00BE3187" w:rsidRDefault="00E42C7D" w:rsidP="00B65A5D">
            <w:pPr>
              <w:rPr>
                <w:bCs/>
              </w:rPr>
            </w:pPr>
            <w:r>
              <w:rPr>
                <w:bCs/>
              </w:rPr>
              <w:t xml:space="preserve"> </w:t>
            </w:r>
            <w:r w:rsidRPr="00BE3187">
              <w:rPr>
                <w:bCs/>
              </w:rPr>
              <w:t>GP Connect makes patient information available to all appropriate clinicians when and where they need it, to support direct patients care, leading to improvements in both care and outcomes.</w:t>
            </w:r>
          </w:p>
          <w:p w14:paraId="763878A7" w14:textId="77777777" w:rsidR="00E42C7D" w:rsidRPr="00BE3187" w:rsidRDefault="00E42C7D" w:rsidP="00B65A5D">
            <w:pPr>
              <w:rPr>
                <w:bCs/>
              </w:rPr>
            </w:pPr>
          </w:p>
          <w:p w14:paraId="6F79973A" w14:textId="77777777" w:rsidR="00E42C7D" w:rsidRPr="00BE3187" w:rsidRDefault="00E42C7D" w:rsidP="00B65A5D">
            <w:pPr>
              <w:rPr>
                <w:bCs/>
              </w:rPr>
            </w:pPr>
            <w:r w:rsidRPr="00BE3187">
              <w:rPr>
                <w:bCs/>
              </w:rPr>
              <w:t>GP Connect is not used for any purpose other than direct care.</w:t>
            </w:r>
          </w:p>
          <w:p w14:paraId="26AB6FF4" w14:textId="77777777" w:rsidR="00E42C7D" w:rsidRPr="00BE3187" w:rsidRDefault="00E42C7D" w:rsidP="00B65A5D">
            <w:pPr>
              <w:rPr>
                <w:bCs/>
              </w:rPr>
            </w:pPr>
          </w:p>
          <w:p w14:paraId="19F29C10" w14:textId="77777777" w:rsidR="00E42C7D" w:rsidRDefault="00E42C7D" w:rsidP="00B65A5D">
            <w:pPr>
              <w:rPr>
                <w:bCs/>
              </w:rPr>
            </w:pPr>
            <w:r w:rsidRPr="00BE3187">
              <w:rPr>
                <w:bCs/>
              </w:rPr>
              <w:t>GP Connect provides a method of secure information transfer and reduces the need to use less secure or less efficient methods of transferring information, such as email or telephone.</w:t>
            </w:r>
            <w:r w:rsidRPr="00C57627">
              <w:rPr>
                <w:bCs/>
              </w:rPr>
              <w:t xml:space="preserve">  </w:t>
            </w:r>
          </w:p>
          <w:p w14:paraId="0B59E30A" w14:textId="77777777" w:rsidR="00E42C7D" w:rsidRDefault="00E42C7D" w:rsidP="00B65A5D">
            <w:pPr>
              <w:spacing w:line="259" w:lineRule="auto"/>
            </w:pPr>
          </w:p>
          <w:p w14:paraId="1267A637" w14:textId="77777777" w:rsidR="00E42C7D" w:rsidRPr="0011240C" w:rsidRDefault="00E42C7D" w:rsidP="00B65A5D">
            <w:pPr>
              <w:spacing w:line="259" w:lineRule="auto"/>
            </w:pPr>
            <w:hyperlink r:id="rId21" w:history="1">
              <w:r w:rsidRPr="00130790">
                <w:rPr>
                  <w:rStyle w:val="Hyperlink"/>
                </w:rPr>
                <w:t>GP Connect transparency notice - NHS England Digital</w:t>
              </w:r>
            </w:hyperlink>
          </w:p>
          <w:p w14:paraId="2D604C92" w14:textId="77777777" w:rsidR="00E42C7D" w:rsidRDefault="00E42C7D" w:rsidP="00B65A5D">
            <w:pPr>
              <w:rPr>
                <w:b/>
              </w:rPr>
            </w:pPr>
          </w:p>
          <w:p w14:paraId="6266468B" w14:textId="77777777" w:rsidR="00E42C7D" w:rsidRPr="007D0FB5" w:rsidRDefault="00E42C7D" w:rsidP="00B65A5D">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8AD239B" w14:textId="77777777" w:rsidR="00E42C7D" w:rsidRPr="007D0FB5" w:rsidRDefault="00E42C7D" w:rsidP="00B65A5D">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53BB45E" w14:textId="77777777" w:rsidR="00E42C7D" w:rsidRPr="007D0FB5" w:rsidRDefault="00E42C7D" w:rsidP="00B65A5D">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8369CC" w14:textId="77777777" w:rsidR="00E42C7D" w:rsidRDefault="00E42C7D" w:rsidP="00B65A5D">
            <w:pPr>
              <w:rPr>
                <w:b/>
              </w:rPr>
            </w:pPr>
          </w:p>
          <w:p w14:paraId="627E5D19" w14:textId="77777777" w:rsidR="00E42C7D" w:rsidRPr="00954E04" w:rsidRDefault="00E42C7D" w:rsidP="00B65A5D">
            <w:pPr>
              <w:rPr>
                <w:b/>
                <w:bCs/>
              </w:rPr>
            </w:pPr>
            <w:r>
              <w:rPr>
                <w:b/>
              </w:rPr>
              <w:t xml:space="preserve">Processor: </w:t>
            </w:r>
            <w:r w:rsidRPr="00C16E1D">
              <w:rPr>
                <w:bCs/>
              </w:rPr>
              <w:t>NHS England</w:t>
            </w:r>
          </w:p>
        </w:tc>
      </w:tr>
      <w:tr w:rsidR="006D24A0" w:rsidRPr="00954E04" w14:paraId="5F2EFD8D" w14:textId="77777777" w:rsidTr="00AD412F">
        <w:tc>
          <w:tcPr>
            <w:tcW w:w="2972" w:type="dxa"/>
          </w:tcPr>
          <w:p w14:paraId="52E8E5D0" w14:textId="172C479A" w:rsidR="006D24A0" w:rsidRPr="00954E04" w:rsidRDefault="006D24A0" w:rsidP="006D24A0">
            <w:r>
              <w:t xml:space="preserve">Shared Care Record </w:t>
            </w:r>
          </w:p>
        </w:tc>
        <w:tc>
          <w:tcPr>
            <w:tcW w:w="6044" w:type="dxa"/>
          </w:tcPr>
          <w:p w14:paraId="4BC53B92" w14:textId="2FD43307" w:rsidR="006D24A0" w:rsidRDefault="006D24A0" w:rsidP="006D24A0">
            <w:pPr>
              <w:rPr>
                <w:bCs/>
              </w:rPr>
            </w:pPr>
            <w:r>
              <w:rPr>
                <w:b/>
              </w:rPr>
              <w:t xml:space="preserve">Purpose: </w:t>
            </w:r>
            <w:r w:rsidR="00E42C7D">
              <w:rPr>
                <w:bCs/>
              </w:rPr>
              <w:t xml:space="preserve">The </w:t>
            </w:r>
            <w:r>
              <w:rPr>
                <w:bCs/>
              </w:rPr>
              <w:t>shared care record</w:t>
            </w:r>
            <w:r w:rsidR="00E42C7D">
              <w:rPr>
                <w:bCs/>
              </w:rPr>
              <w:t xml:space="preserve"> </w:t>
            </w:r>
            <w:r>
              <w:rPr>
                <w:bCs/>
              </w:rPr>
              <w:t xml:space="preserve">will assist in patient information </w:t>
            </w:r>
            <w:r w:rsidR="00E42C7D">
              <w:rPr>
                <w:bCs/>
              </w:rPr>
              <w:t>being</w:t>
            </w:r>
            <w:r>
              <w:rPr>
                <w:bCs/>
              </w:rPr>
              <w:t xml:space="preserv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24E7FB99" w:rsidR="006D24A0" w:rsidRPr="006328B5" w:rsidRDefault="006D24A0" w:rsidP="006D24A0">
            <w:pPr>
              <w:rPr>
                <w:bCs/>
              </w:rPr>
            </w:pPr>
            <w:r>
              <w:rPr>
                <w:bCs/>
              </w:rPr>
              <w:t xml:space="preserve">Where personal confidential data is used for </w:t>
            </w:r>
            <w:r w:rsidR="001D52B4">
              <w:rPr>
                <w:bCs/>
              </w:rPr>
              <w:t>r</w:t>
            </w:r>
            <w:r>
              <w:rPr>
                <w:bCs/>
              </w:rPr>
              <w:t xml:space="preserve">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4D13A3">
              <w:rPr>
                <w:bCs/>
              </w:rPr>
              <w:t>NHS England</w:t>
            </w:r>
            <w:r w:rsidRPr="000B4F9E">
              <w:rPr>
                <w:b/>
              </w:rPr>
              <w:t xml:space="preserve"> </w:t>
            </w:r>
          </w:p>
        </w:tc>
      </w:tr>
      <w:tr w:rsidR="006D24A0" w:rsidRPr="00954E04" w14:paraId="5CC8F746" w14:textId="77777777" w:rsidTr="00AD412F">
        <w:tc>
          <w:tcPr>
            <w:tcW w:w="2972" w:type="dxa"/>
          </w:tcPr>
          <w:p w14:paraId="28C1FDFD" w14:textId="62AA56DB" w:rsidR="006D24A0" w:rsidRDefault="006D24A0" w:rsidP="006D24A0">
            <w:r>
              <w:lastRenderedPageBreak/>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3BD2E9EC" w:rsidR="006D24A0" w:rsidRDefault="006D24A0" w:rsidP="006D24A0">
            <w:pPr>
              <w:rPr>
                <w:b/>
              </w:rPr>
            </w:pPr>
          </w:p>
        </w:tc>
      </w:tr>
      <w:bookmarkEnd w:id="1"/>
      <w:tr w:rsidR="00E42C7D" w14:paraId="43FE8D00" w14:textId="77777777" w:rsidTr="00B65A5D">
        <w:trPr>
          <w:trHeight w:val="1266"/>
        </w:trPr>
        <w:tc>
          <w:tcPr>
            <w:tcW w:w="2972" w:type="dxa"/>
            <w:hideMark/>
          </w:tcPr>
          <w:p w14:paraId="425D1BE1" w14:textId="5C4D8573" w:rsidR="00E42C7D" w:rsidRDefault="006E4158" w:rsidP="00B65A5D">
            <w:pPr>
              <w:pStyle w:val="NoSpacing"/>
            </w:pPr>
            <w:r>
              <w:t>O</w:t>
            </w:r>
            <w:r w:rsidR="00E42C7D">
              <w:t>nline access</w:t>
            </w:r>
          </w:p>
        </w:tc>
        <w:tc>
          <w:tcPr>
            <w:tcW w:w="6044" w:type="dxa"/>
          </w:tcPr>
          <w:p w14:paraId="0903659A" w14:textId="77777777" w:rsidR="00E42C7D" w:rsidRDefault="00E42C7D" w:rsidP="00B65A5D">
            <w:pPr>
              <w:pStyle w:val="NoSpacing"/>
            </w:pPr>
            <w:r>
              <w:rPr>
                <w:b/>
                <w:bCs/>
              </w:rPr>
              <w:t>Purpose</w:t>
            </w:r>
            <w:r>
              <w:t>: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625D76C5" w14:textId="77777777" w:rsidR="00E42C7D" w:rsidRDefault="00E42C7D" w:rsidP="00B65A5D">
            <w:pPr>
              <w:pStyle w:val="NoSpacing"/>
            </w:pPr>
          </w:p>
          <w:p w14:paraId="36A25BC1" w14:textId="77777777" w:rsidR="00E42C7D" w:rsidRDefault="00E42C7D" w:rsidP="00B65A5D">
            <w:pPr>
              <w:pStyle w:val="NoSpacing"/>
            </w:pPr>
            <w:r>
              <w:rPr>
                <w:b/>
                <w:bCs/>
              </w:rPr>
              <w:t>Legal Basis</w:t>
            </w:r>
            <w:r>
              <w:t xml:space="preserve">: </w:t>
            </w:r>
          </w:p>
          <w:p w14:paraId="0DA6BC14" w14:textId="77777777" w:rsidR="00E42C7D" w:rsidRDefault="00E42C7D" w:rsidP="00B65A5D">
            <w:pPr>
              <w:pStyle w:val="NoSpacing"/>
            </w:pPr>
            <w:r>
              <w:rPr>
                <w:b/>
                <w:bCs/>
              </w:rPr>
              <w:t>UK GDPR</w:t>
            </w:r>
            <w:r>
              <w:t>:</w:t>
            </w:r>
          </w:p>
          <w:p w14:paraId="508A113F" w14:textId="77777777" w:rsidR="00E42C7D" w:rsidRDefault="00E42C7D" w:rsidP="00E42C7D">
            <w:pPr>
              <w:pStyle w:val="ListParagraph"/>
              <w:numPr>
                <w:ilvl w:val="0"/>
                <w:numId w:val="15"/>
              </w:numPr>
              <w:suppressAutoHyphens/>
              <w:autoSpaceDN w:val="0"/>
              <w:textAlignment w:val="baseline"/>
            </w:pPr>
            <w:r>
              <w:t>Article 6(1)(e) Necessary for the performance of a task carried out in the public interest</w:t>
            </w:r>
          </w:p>
          <w:p w14:paraId="5BC490C0" w14:textId="77777777" w:rsidR="00E42C7D" w:rsidRDefault="00E42C7D" w:rsidP="00E42C7D">
            <w:pPr>
              <w:pStyle w:val="ListParagraph"/>
              <w:numPr>
                <w:ilvl w:val="0"/>
                <w:numId w:val="15"/>
              </w:numPr>
              <w:suppressAutoHyphens/>
              <w:autoSpaceDN w:val="0"/>
              <w:textAlignment w:val="baseline"/>
            </w:pPr>
            <w:r>
              <w:t>Article 9(2)(h) Necessary for provision of health and/or social care, including preventative or occupational medicine</w:t>
            </w:r>
          </w:p>
          <w:p w14:paraId="1EF2010D" w14:textId="77777777" w:rsidR="00E42C7D" w:rsidRDefault="00E42C7D" w:rsidP="00B65A5D">
            <w:pPr>
              <w:pStyle w:val="ListParagraph"/>
              <w:suppressAutoHyphens/>
              <w:autoSpaceDN w:val="0"/>
              <w:textAlignment w:val="baseline"/>
            </w:pPr>
          </w:p>
          <w:p w14:paraId="451F0765" w14:textId="77777777" w:rsidR="00E42C7D" w:rsidRDefault="00E42C7D" w:rsidP="00B65A5D">
            <w:r>
              <w:rPr>
                <w:b/>
                <w:bCs/>
              </w:rPr>
              <w:lastRenderedPageBreak/>
              <w:t>Common Law Duty of Confidentiality (CLDC)</w:t>
            </w:r>
            <w:r>
              <w:t>:</w:t>
            </w:r>
          </w:p>
          <w:p w14:paraId="526B85F5" w14:textId="77777777" w:rsidR="00E42C7D" w:rsidRDefault="00E42C7D" w:rsidP="00E42C7D">
            <w:pPr>
              <w:pStyle w:val="ListParagraph"/>
              <w:numPr>
                <w:ilvl w:val="0"/>
                <w:numId w:val="14"/>
              </w:numPr>
              <w:suppressAutoHyphens/>
              <w:autoSpaceDN w:val="0"/>
              <w:textAlignment w:val="baseline"/>
            </w:pPr>
            <w:r>
              <w:t>The CLDC is satisfied as the data subjects are accessing their own data following sign up for a relevant app or platform and selecting the option to view their GP record.</w:t>
            </w:r>
          </w:p>
          <w:p w14:paraId="01FEE0CC" w14:textId="77777777" w:rsidR="00E42C7D" w:rsidRDefault="00E42C7D" w:rsidP="00B65A5D">
            <w:pPr>
              <w:pStyle w:val="NoSpacing"/>
            </w:pPr>
          </w:p>
          <w:p w14:paraId="2A02AEF4" w14:textId="4A60A269" w:rsidR="00E42C7D" w:rsidRDefault="00E42C7D" w:rsidP="00B65A5D">
            <w:pPr>
              <w:pStyle w:val="NoSpacing"/>
            </w:pPr>
            <w:r>
              <w:rPr>
                <w:b/>
                <w:bCs/>
              </w:rPr>
              <w:t>Processor</w:t>
            </w:r>
            <w:r>
              <w:t xml:space="preserve">: NHS Digital, </w:t>
            </w:r>
            <w:r w:rsidR="009B11E4">
              <w:t>EMIS</w:t>
            </w:r>
          </w:p>
        </w:tc>
      </w:tr>
      <w:tr w:rsidR="00A855A6" w:rsidRPr="00465E84" w14:paraId="09C55B75" w14:textId="77777777" w:rsidTr="00AD412F">
        <w:tc>
          <w:tcPr>
            <w:tcW w:w="2972" w:type="dxa"/>
          </w:tcPr>
          <w:p w14:paraId="4974A0F7" w14:textId="3A048B57" w:rsidR="00A855A6" w:rsidRPr="009B11E4" w:rsidRDefault="00A855A6" w:rsidP="00112417">
            <w:pPr>
              <w:pStyle w:val="Default"/>
              <w:rPr>
                <w:szCs w:val="22"/>
              </w:rPr>
            </w:pPr>
            <w:proofErr w:type="spellStart"/>
            <w:r w:rsidRPr="009B11E4">
              <w:rPr>
                <w:rFonts w:eastAsia="Times New Roman"/>
                <w:color w:val="242424"/>
              </w:rPr>
              <w:lastRenderedPageBreak/>
              <w:t>NHSMail</w:t>
            </w:r>
            <w:proofErr w:type="spellEnd"/>
            <w:r w:rsidRPr="009B11E4">
              <w:rPr>
                <w:rFonts w:eastAsia="Times New Roman"/>
                <w:color w:val="242424"/>
              </w:rPr>
              <w:t xml:space="preserve"> and Office 365 (N365 Applications and SharePoint)</w:t>
            </w:r>
          </w:p>
        </w:tc>
        <w:tc>
          <w:tcPr>
            <w:tcW w:w="6044" w:type="dxa"/>
          </w:tcPr>
          <w:p w14:paraId="5A892D57" w14:textId="77777777" w:rsidR="00A855A6" w:rsidRDefault="00A855A6" w:rsidP="00A855A6">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Purpose: </w:t>
            </w:r>
            <w:r w:rsidRPr="007365EF">
              <w:rPr>
                <w:rFonts w:ascii="Calibri" w:eastAsia="Times New Roman" w:hAnsi="Calibri" w:cs="Calibri"/>
                <w:color w:val="242424"/>
                <w:lang w:eastAsia="en-GB"/>
              </w:rPr>
              <w:t>NHSmail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w:t>
            </w:r>
          </w:p>
          <w:p w14:paraId="10D9298D"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5B9D4D9A"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National Reach: </w:t>
            </w:r>
            <w:r w:rsidRPr="00A855A6">
              <w:rPr>
                <w:rFonts w:ascii="Calibri" w:eastAsia="Times New Roman" w:hAnsi="Calibri" w:cs="Calibri"/>
                <w:color w:val="242424"/>
                <w:lang w:eastAsia="en-GB"/>
              </w:rPr>
              <w:t>Staff can easily connect across different NHS organisations.</w:t>
            </w:r>
          </w:p>
          <w:p w14:paraId="3CB6F579"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Safety: </w:t>
            </w:r>
            <w:r w:rsidRPr="00A855A6">
              <w:rPr>
                <w:rFonts w:ascii="Calibri" w:eastAsia="Times New Roman" w:hAnsi="Calibri" w:cs="Calibri"/>
                <w:color w:val="242424"/>
                <w:lang w:eastAsia="en-GB"/>
              </w:rPr>
              <w:t>Advanced protection against viruses and spam keeps information secure.</w:t>
            </w:r>
          </w:p>
          <w:p w14:paraId="51F3E558"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Flexibility: </w:t>
            </w:r>
            <w:r w:rsidRPr="00A855A6">
              <w:rPr>
                <w:rFonts w:ascii="Calibri" w:eastAsia="Times New Roman" w:hAnsi="Calibri" w:cs="Calibri"/>
                <w:color w:val="242424"/>
                <w:lang w:eastAsia="en-GB"/>
              </w:rPr>
              <w:t>Staff can communicate without disruption even if organisations change. These tools support the NHS's goal of improving digital care and collaboration.</w:t>
            </w:r>
          </w:p>
          <w:p w14:paraId="6FA9F1FC"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14B23843"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Legal Basis:</w:t>
            </w:r>
          </w:p>
          <w:p w14:paraId="14252D45"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Article 6(1)e - </w:t>
            </w:r>
            <w:r w:rsidRPr="007365EF">
              <w:rPr>
                <w:rFonts w:ascii="Calibri" w:eastAsia="Times New Roman" w:hAnsi="Calibri" w:cs="Calibri"/>
                <w:color w:val="242424"/>
                <w:lang w:eastAsia="en-GB"/>
              </w:rPr>
              <w:t>“processing is necessary for the performance of a task carried out in the public interest or in the exercise of official authority vested in the controller”;</w:t>
            </w:r>
          </w:p>
          <w:p w14:paraId="71467C1E" w14:textId="77777777" w:rsidR="00A855A6" w:rsidRDefault="00A855A6" w:rsidP="00A855A6">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Article 9(2)h - </w:t>
            </w:r>
            <w:r w:rsidRPr="007365EF">
              <w:rPr>
                <w:rFonts w:ascii="Calibri" w:eastAsia="Times New Roman" w:hAnsi="Calibri" w:cs="Calibri"/>
                <w:color w:val="242424"/>
                <w:lang w:eastAsia="en-GB"/>
              </w:rPr>
              <w:t>“processing is necessary for the purposes of preventive or occupational medicine”;</w:t>
            </w:r>
          </w:p>
          <w:p w14:paraId="77802C26"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3079F41D" w14:textId="77777777" w:rsidR="004D13A3" w:rsidRPr="00F419CF" w:rsidRDefault="00A855A6" w:rsidP="00A855A6">
            <w:pPr>
              <w:rPr>
                <w:rFonts w:ascii="Calibri" w:eastAsia="Times New Roman" w:hAnsi="Calibri" w:cs="Calibri"/>
                <w:b/>
                <w:bCs/>
                <w:color w:val="242424"/>
                <w:lang w:val="it-IT" w:eastAsia="en-GB"/>
              </w:rPr>
            </w:pPr>
            <w:r w:rsidRPr="00F419CF">
              <w:rPr>
                <w:rFonts w:ascii="Calibri" w:eastAsia="Times New Roman" w:hAnsi="Calibri" w:cs="Calibri"/>
                <w:b/>
                <w:bCs/>
                <w:color w:val="242424"/>
                <w:lang w:val="it-IT" w:eastAsia="en-GB"/>
              </w:rPr>
              <w:t>Processor: </w:t>
            </w:r>
            <w:r w:rsidRPr="00F419CF">
              <w:rPr>
                <w:rFonts w:ascii="Calibri" w:eastAsia="Times New Roman" w:hAnsi="Calibri" w:cs="Calibri"/>
                <w:color w:val="242424"/>
                <w:lang w:val="it-IT" w:eastAsia="en-GB"/>
              </w:rPr>
              <w:t>Accenture</w:t>
            </w:r>
          </w:p>
          <w:p w14:paraId="1A4FFDB9" w14:textId="5196B7F4" w:rsidR="00A855A6" w:rsidRPr="00F419CF" w:rsidRDefault="00A855A6" w:rsidP="00112417">
            <w:pPr>
              <w:rPr>
                <w:lang w:val="it-IT"/>
              </w:rPr>
            </w:pPr>
            <w:r w:rsidRPr="00F419CF">
              <w:rPr>
                <w:rFonts w:ascii="Calibri" w:eastAsia="Times New Roman" w:hAnsi="Calibri" w:cs="Calibri"/>
                <w:b/>
                <w:bCs/>
                <w:color w:val="242424"/>
                <w:lang w:val="it-IT" w:eastAsia="en-GB"/>
              </w:rPr>
              <w:t xml:space="preserve">Sub-processor: </w:t>
            </w:r>
            <w:r w:rsidRPr="00F419CF">
              <w:rPr>
                <w:rFonts w:ascii="Calibri" w:eastAsia="Times New Roman" w:hAnsi="Calibri" w:cs="Calibri"/>
                <w:color w:val="242424"/>
                <w:lang w:val="it-IT" w:eastAsia="en-GB"/>
              </w:rPr>
              <w:t>Microsoft</w:t>
            </w:r>
          </w:p>
        </w:tc>
      </w:tr>
      <w:tr w:rsidR="00465E84" w:rsidRPr="00465E84" w14:paraId="65779E60" w14:textId="77777777" w:rsidTr="00AD412F">
        <w:tc>
          <w:tcPr>
            <w:tcW w:w="2972" w:type="dxa"/>
          </w:tcPr>
          <w:p w14:paraId="75180C81" w14:textId="1D0FAB39" w:rsidR="00465E84" w:rsidRPr="00465E84" w:rsidRDefault="00465E84" w:rsidP="00A855A6">
            <w:pPr>
              <w:pStyle w:val="Default"/>
            </w:pPr>
            <w:r>
              <w:t>Practice local data</w:t>
            </w:r>
          </w:p>
        </w:tc>
        <w:tc>
          <w:tcPr>
            <w:tcW w:w="6044" w:type="dxa"/>
          </w:tcPr>
          <w:p w14:paraId="131D6065" w14:textId="77777777" w:rsidR="00465E84" w:rsidRDefault="00465E84" w:rsidP="00A855A6">
            <w:pPr>
              <w:jc w:val="both"/>
              <w:rPr>
                <w:rFonts w:eastAsia="Calibri" w:cstheme="minorHAnsi"/>
                <w:sz w:val="24"/>
                <w:szCs w:val="24"/>
              </w:rPr>
            </w:pPr>
            <w:r w:rsidRPr="00465E84">
              <w:rPr>
                <w:rFonts w:eastAsia="Calibri" w:cstheme="minorHAnsi"/>
                <w:b/>
                <w:bCs/>
                <w:sz w:val="24"/>
                <w:szCs w:val="24"/>
              </w:rPr>
              <w:t>Purpose</w:t>
            </w:r>
            <w:r w:rsidRPr="00465E84">
              <w:rPr>
                <w:rFonts w:eastAsia="Calibri" w:cstheme="minorHAnsi"/>
                <w:sz w:val="24"/>
                <w:szCs w:val="24"/>
              </w:rPr>
              <w:t xml:space="preserve"> – Practice data including referral templates, staff payroll information, user guides, GMS contract information, staff appraisals, equipment asset lists, practice policies e.g. business continuity plans is stored on single central location within the SCW’s data centre as part of the Bucks Single Domain Migration project.</w:t>
            </w:r>
          </w:p>
          <w:p w14:paraId="7A94FC5E" w14:textId="77777777" w:rsidR="00465E84" w:rsidRDefault="00465E84" w:rsidP="00A855A6">
            <w:pPr>
              <w:jc w:val="both"/>
              <w:rPr>
                <w:rFonts w:eastAsia="Calibri" w:cstheme="minorHAnsi"/>
                <w:sz w:val="24"/>
                <w:szCs w:val="24"/>
              </w:rPr>
            </w:pPr>
            <w:r w:rsidRPr="00465E84">
              <w:rPr>
                <w:rFonts w:eastAsia="Calibri" w:cstheme="minorHAnsi"/>
                <w:b/>
                <w:bCs/>
                <w:sz w:val="24"/>
                <w:szCs w:val="24"/>
              </w:rPr>
              <w:t>Legal Basis</w:t>
            </w:r>
            <w:r w:rsidRPr="00465E84">
              <w:rPr>
                <w:rFonts w:eastAsia="Calibri" w:cstheme="minorHAnsi"/>
                <w:sz w:val="24"/>
                <w:szCs w:val="24"/>
              </w:rPr>
              <w:t xml:space="preserve"> - Article 6(1)(e); “necessary… in the exercise of official authority vested in the controller’ And Article 9(2)(h) as stated below </w:t>
            </w:r>
          </w:p>
          <w:p w14:paraId="37164CA7" w14:textId="77777777" w:rsidR="00465E84" w:rsidRDefault="00465E84" w:rsidP="00A855A6">
            <w:pPr>
              <w:jc w:val="both"/>
              <w:rPr>
                <w:rFonts w:eastAsia="Calibri" w:cstheme="minorHAnsi"/>
                <w:sz w:val="24"/>
                <w:szCs w:val="24"/>
              </w:rPr>
            </w:pPr>
          </w:p>
          <w:p w14:paraId="032D687A" w14:textId="77777777" w:rsidR="00465E84" w:rsidRDefault="00465E84" w:rsidP="00A855A6">
            <w:pPr>
              <w:jc w:val="both"/>
              <w:rPr>
                <w:rFonts w:eastAsia="Calibri" w:cstheme="minorHAnsi"/>
                <w:sz w:val="24"/>
                <w:szCs w:val="24"/>
              </w:rPr>
            </w:pPr>
            <w:r w:rsidRPr="00465E84">
              <w:rPr>
                <w:rFonts w:eastAsia="Calibri" w:cstheme="minorHAnsi"/>
                <w:b/>
                <w:bCs/>
                <w:sz w:val="24"/>
                <w:szCs w:val="24"/>
              </w:rPr>
              <w:t xml:space="preserve">Processor </w:t>
            </w:r>
            <w:r w:rsidRPr="00465E84">
              <w:rPr>
                <w:rFonts w:eastAsia="Calibri" w:cstheme="minorHAnsi"/>
                <w:sz w:val="24"/>
                <w:szCs w:val="24"/>
              </w:rPr>
              <w:t>– SCW</w:t>
            </w:r>
          </w:p>
          <w:p w14:paraId="36A4A5C1" w14:textId="40A28D5F" w:rsidR="00465E84" w:rsidRPr="00465E84" w:rsidRDefault="00465E84" w:rsidP="00A855A6">
            <w:pPr>
              <w:jc w:val="both"/>
              <w:rPr>
                <w:rFonts w:eastAsia="Calibri" w:cstheme="minorHAnsi"/>
                <w:sz w:val="24"/>
                <w:szCs w:val="24"/>
              </w:rPr>
            </w:pPr>
          </w:p>
        </w:tc>
      </w:tr>
      <w:tr w:rsidR="00A855A6" w:rsidRPr="00954E04" w14:paraId="3CE09186" w14:textId="77777777" w:rsidTr="00AD412F">
        <w:tc>
          <w:tcPr>
            <w:tcW w:w="2972" w:type="dxa"/>
          </w:tcPr>
          <w:p w14:paraId="204E490B" w14:textId="77777777" w:rsidR="00A855A6" w:rsidRPr="00E7397D" w:rsidRDefault="00A855A6" w:rsidP="00A855A6">
            <w:pPr>
              <w:pStyle w:val="Default"/>
            </w:pPr>
            <w:r w:rsidRPr="00E7397D">
              <w:t xml:space="preserve">Child Health Information Services (CHIS) </w:t>
            </w:r>
          </w:p>
          <w:p w14:paraId="5999BED5" w14:textId="77777777" w:rsidR="00A855A6" w:rsidRPr="007365EF" w:rsidRDefault="00A855A6" w:rsidP="00112417">
            <w:pPr>
              <w:pStyle w:val="Default"/>
              <w:rPr>
                <w:rFonts w:eastAsia="Times New Roman"/>
                <w:b/>
                <w:bCs/>
                <w:color w:val="242424"/>
              </w:rPr>
            </w:pPr>
          </w:p>
        </w:tc>
        <w:tc>
          <w:tcPr>
            <w:tcW w:w="6044" w:type="dxa"/>
          </w:tcPr>
          <w:p w14:paraId="65778A1D" w14:textId="1C9B2494" w:rsidR="00A855A6" w:rsidRDefault="00A855A6" w:rsidP="00A855A6">
            <w:pPr>
              <w:jc w:val="both"/>
              <w:rPr>
                <w:rFonts w:cstheme="minorHAnsi"/>
                <w:color w:val="000000"/>
                <w:sz w:val="24"/>
                <w:szCs w:val="24"/>
                <w:shd w:val="clear" w:color="auto" w:fill="FFFFFF"/>
              </w:rPr>
            </w:pPr>
            <w:r w:rsidRPr="00E7397D">
              <w:rPr>
                <w:rFonts w:eastAsia="Calibri" w:cstheme="minorHAnsi"/>
                <w:b/>
                <w:bCs/>
                <w:sz w:val="24"/>
                <w:szCs w:val="24"/>
              </w:rPr>
              <w:t xml:space="preserve">Purpose – </w:t>
            </w:r>
            <w:r w:rsidR="004D13A3" w:rsidRPr="00E7397D">
              <w:rPr>
                <w:rFonts w:cstheme="minorHAnsi"/>
                <w:color w:val="000000"/>
                <w:sz w:val="24"/>
                <w:szCs w:val="24"/>
                <w:shd w:val="clear" w:color="auto" w:fill="FFFFFF"/>
              </w:rPr>
              <w:t>South</w:t>
            </w:r>
            <w:r w:rsidRPr="00E7397D">
              <w:rPr>
                <w:rFonts w:cstheme="minorHAnsi"/>
                <w:color w:val="000000"/>
                <w:sz w:val="24"/>
                <w:szCs w:val="24"/>
                <w:shd w:val="clear" w:color="auto" w:fill="FFFFFF"/>
              </w:rPr>
              <w:t xml:space="preserve"> Central and West Child Health Information Services (SCW CHIS) is commissioned by NHS England to support the monitoring of care delivered to children</w:t>
            </w:r>
            <w:r w:rsidRPr="00E7397D">
              <w:rPr>
                <w:rFonts w:cstheme="minorHAnsi"/>
                <w:sz w:val="24"/>
                <w:szCs w:val="24"/>
                <w:shd w:val="clear" w:color="auto" w:fill="FFFFFF"/>
              </w:rPr>
              <w:t>.  P</w:t>
            </w:r>
            <w:r w:rsidRPr="00E7397D">
              <w:rPr>
                <w:rFonts w:cstheme="minorHAnsi"/>
                <w:sz w:val="24"/>
                <w:szCs w:val="24"/>
              </w:rPr>
              <w:t>ersonal data is collected from the child’s GP record to enable h</w:t>
            </w:r>
            <w:r w:rsidRPr="00E7397D">
              <w:rPr>
                <w:rFonts w:cstheme="minorHAnsi"/>
                <w:color w:val="000000"/>
                <w:sz w:val="24"/>
                <w:szCs w:val="24"/>
                <w:shd w:val="clear" w:color="auto" w:fill="FFFFFF"/>
              </w:rPr>
              <w:t xml:space="preserve">ealth screening, physical examination and </w:t>
            </w:r>
            <w:r w:rsidRPr="00E7397D">
              <w:rPr>
                <w:rFonts w:cstheme="minorHAnsi"/>
                <w:color w:val="000000"/>
                <w:sz w:val="24"/>
                <w:szCs w:val="24"/>
                <w:shd w:val="clear" w:color="auto" w:fill="FFFFFF"/>
              </w:rPr>
              <w:lastRenderedPageBreak/>
              <w:t xml:space="preserve">vaccination services </w:t>
            </w:r>
            <w:r w:rsidRPr="00E7397D">
              <w:rPr>
                <w:rFonts w:cstheme="minorHAnsi"/>
                <w:sz w:val="24"/>
                <w:szCs w:val="24"/>
                <w:shd w:val="clear" w:color="auto" w:fill="FFFFFF"/>
              </w:rPr>
              <w:t>to be</w:t>
            </w:r>
            <w:r w:rsidRPr="00E7397D">
              <w:rPr>
                <w:rFonts w:cstheme="minorHAnsi"/>
                <w:color w:val="000000"/>
                <w:sz w:val="24"/>
                <w:szCs w:val="24"/>
                <w:shd w:val="clear" w:color="auto" w:fill="FFFFFF"/>
              </w:rPr>
              <w:t xml:space="preserve"> monitored to ensure that every child has access to all relevant health interventions. </w:t>
            </w:r>
          </w:p>
          <w:p w14:paraId="46441D05" w14:textId="77777777" w:rsidR="00A855A6" w:rsidRPr="00E7397D" w:rsidRDefault="00A855A6" w:rsidP="00A855A6">
            <w:pPr>
              <w:jc w:val="both"/>
              <w:rPr>
                <w:rFonts w:eastAsia="Calibri" w:cstheme="minorHAnsi"/>
                <w:bCs/>
                <w:sz w:val="24"/>
                <w:szCs w:val="24"/>
              </w:rPr>
            </w:pPr>
          </w:p>
          <w:p w14:paraId="35FA61A3" w14:textId="77777777" w:rsidR="00A855A6" w:rsidRPr="00E7397D" w:rsidRDefault="00A855A6" w:rsidP="00A855A6">
            <w:pPr>
              <w:jc w:val="both"/>
              <w:rPr>
                <w:rFonts w:eastAsia="Calibri" w:cstheme="minorHAnsi"/>
                <w:bCs/>
                <w:sz w:val="24"/>
                <w:szCs w:val="24"/>
              </w:rPr>
            </w:pPr>
            <w:r w:rsidRPr="00E7397D">
              <w:rPr>
                <w:rFonts w:eastAsia="Calibri" w:cstheme="minorHAnsi"/>
                <w:bCs/>
                <w:sz w:val="24"/>
                <w:szCs w:val="24"/>
              </w:rPr>
              <w:t xml:space="preserve">For more information: </w:t>
            </w:r>
            <w:hyperlink r:id="rId22" w:history="1">
              <w:r w:rsidRPr="00E7397D">
                <w:rPr>
                  <w:rStyle w:val="Hyperlink"/>
                  <w:sz w:val="24"/>
                  <w:szCs w:val="24"/>
                </w:rPr>
                <w:t>Fair Processing Notice Child Health Information Services - NHS SCW Support and Transformation for Health and Care (scwcsu.nhs.uk)</w:t>
              </w:r>
            </w:hyperlink>
          </w:p>
          <w:p w14:paraId="618081A8" w14:textId="77777777" w:rsidR="00A855A6" w:rsidRPr="00E7397D" w:rsidRDefault="00A855A6" w:rsidP="00A855A6">
            <w:pPr>
              <w:pStyle w:val="Default"/>
              <w:rPr>
                <w:rFonts w:ascii="Arial" w:hAnsi="Arial" w:cs="Arial"/>
              </w:rPr>
            </w:pPr>
            <w:r w:rsidRPr="00E7397D">
              <w:rPr>
                <w:rFonts w:eastAsia="Calibri" w:cstheme="minorHAnsi"/>
                <w:b/>
                <w:bCs/>
              </w:rPr>
              <w:t>Legal Basis</w:t>
            </w:r>
            <w:r w:rsidRPr="00E7397D">
              <w:rPr>
                <w:rFonts w:eastAsia="Calibri" w:cstheme="minorHAnsi"/>
                <w:bCs/>
              </w:rPr>
              <w:t xml:space="preserve"> – </w:t>
            </w:r>
            <w:r w:rsidRPr="00E7397D">
              <w:rPr>
                <w:rFonts w:eastAsia="Calibri" w:cstheme="minorHAnsi"/>
              </w:rPr>
              <w:t>Article 6(1)(e); ‘necessary… in the exercise of official authority vested in the controller’ and Article 9(2)(h) as stated below.</w:t>
            </w:r>
            <w:r w:rsidRPr="00E7397D">
              <w:rPr>
                <w:rFonts w:eastAsia="Calibri" w:cstheme="minorHAnsi"/>
              </w:rPr>
              <w:br/>
            </w:r>
          </w:p>
          <w:p w14:paraId="7A3ACD3D" w14:textId="19FAE2E6" w:rsidR="00A855A6" w:rsidRPr="007365EF" w:rsidRDefault="00A855A6" w:rsidP="00A855A6">
            <w:pPr>
              <w:shd w:val="clear" w:color="auto" w:fill="FFFFFF"/>
              <w:rPr>
                <w:rFonts w:ascii="Calibri" w:eastAsia="Times New Roman" w:hAnsi="Calibri" w:cs="Calibri"/>
                <w:b/>
                <w:bCs/>
                <w:color w:val="242424"/>
                <w:lang w:eastAsia="en-GB"/>
              </w:rPr>
            </w:pPr>
            <w:r w:rsidRPr="00E7397D">
              <w:rPr>
                <w:rFonts w:eastAsia="Calibri" w:cstheme="minorHAnsi"/>
                <w:b/>
                <w:bCs/>
                <w:sz w:val="24"/>
                <w:szCs w:val="24"/>
              </w:rPr>
              <w:t>Processor</w:t>
            </w:r>
            <w:r w:rsidRPr="00E7397D">
              <w:rPr>
                <w:rFonts w:eastAsia="Calibri" w:cstheme="minorHAnsi"/>
                <w:bCs/>
                <w:sz w:val="24"/>
                <w:szCs w:val="24"/>
              </w:rPr>
              <w:t xml:space="preserve"> – </w:t>
            </w:r>
            <w:r w:rsidRPr="00074C32">
              <w:rPr>
                <w:rFonts w:eastAsia="Calibri" w:cstheme="minorHAnsi"/>
                <w:bCs/>
                <w:sz w:val="24"/>
                <w:szCs w:val="24"/>
              </w:rPr>
              <w:t xml:space="preserve">SCW, </w:t>
            </w:r>
            <w:r w:rsidRPr="00074C32">
              <w:rPr>
                <w:sz w:val="24"/>
                <w:szCs w:val="24"/>
              </w:rPr>
              <w:t xml:space="preserve">Apollo Medical Software Solutions, </w:t>
            </w:r>
            <w:proofErr w:type="spellStart"/>
            <w:r w:rsidRPr="00074C32">
              <w:rPr>
                <w:sz w:val="24"/>
                <w:szCs w:val="24"/>
              </w:rPr>
              <w:t>SystemC</w:t>
            </w:r>
            <w:proofErr w:type="spellEnd"/>
          </w:p>
        </w:tc>
      </w:tr>
    </w:tbl>
    <w:p w14:paraId="10FEECD6" w14:textId="22AB6F33" w:rsidR="00FB0D05" w:rsidRPr="009B11E4" w:rsidRDefault="00954E04" w:rsidP="009B11E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lastRenderedPageBreak/>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EA0773">
        <w:rPr>
          <w:rFonts w:eastAsia="Times New Roman" w:cstheme="minorHAnsi"/>
          <w:color w:val="000000" w:themeColor="text1"/>
          <w:lang w:val="en-US" w:eastAsia="en-GB"/>
        </w:rPr>
        <w:t xml:space="preserve">February </w:t>
      </w:r>
      <w:r w:rsidR="00E1332B" w:rsidRPr="004D13A3">
        <w:rPr>
          <w:rFonts w:eastAsia="Times New Roman" w:cstheme="minorHAnsi"/>
          <w:color w:val="000000" w:themeColor="text1"/>
          <w:lang w:val="en-US" w:eastAsia="en-GB"/>
        </w:rPr>
        <w:t>202</w:t>
      </w:r>
      <w:r w:rsidR="009E5CD9" w:rsidRPr="004D13A3">
        <w:rPr>
          <w:rFonts w:eastAsia="Times New Roman" w:cstheme="minorHAnsi"/>
          <w:color w:val="000000" w:themeColor="text1"/>
          <w:lang w:val="en-US" w:eastAsia="en-GB"/>
        </w:rPr>
        <w:t>6</w:t>
      </w:r>
      <w:r w:rsidRPr="004D13A3">
        <w:rPr>
          <w:rFonts w:eastAsia="Times New Roman" w:cstheme="minorHAnsi"/>
          <w:color w:val="000000" w:themeColor="text1"/>
          <w:lang w:val="en-US" w:eastAsia="en-GB"/>
        </w:rPr>
        <w:t>.</w:t>
      </w:r>
    </w:p>
    <w:sectPr w:rsidR="00FB0D05" w:rsidRPr="009B11E4">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3D7D" w14:textId="77777777" w:rsidR="00B306B5" w:rsidRDefault="00B306B5" w:rsidP="00F07ECC">
      <w:pPr>
        <w:spacing w:after="0" w:line="240" w:lineRule="auto"/>
      </w:pPr>
      <w:r>
        <w:separator/>
      </w:r>
    </w:p>
  </w:endnote>
  <w:endnote w:type="continuationSeparator" w:id="0">
    <w:p w14:paraId="6547AB0A" w14:textId="77777777" w:rsidR="00B306B5" w:rsidRDefault="00B306B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6D6AB3E4" w:rsidR="00BC50D8" w:rsidRDefault="00BC50D8">
    <w:pPr>
      <w:pStyle w:val="Footer"/>
    </w:pPr>
  </w:p>
  <w:p w14:paraId="277BBC5F" w14:textId="3FC9C3FD" w:rsidR="00BC50D8" w:rsidRDefault="00BC50D8">
    <w:pPr>
      <w:pStyle w:val="Footer"/>
    </w:pPr>
    <w:r>
      <w:t>Appendix A – GP Privacy Notice V</w:t>
    </w:r>
    <w:r w:rsidR="002A1C6F">
      <w:t>9</w:t>
    </w:r>
    <w:r w:rsidR="00F419CF">
      <w:t xml:space="preserve"> April26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102" w14:textId="77777777" w:rsidR="00B306B5" w:rsidRDefault="00B306B5" w:rsidP="00F07ECC">
      <w:pPr>
        <w:spacing w:after="0" w:line="240" w:lineRule="auto"/>
      </w:pPr>
      <w:r>
        <w:separator/>
      </w:r>
    </w:p>
  </w:footnote>
  <w:footnote w:type="continuationSeparator" w:id="0">
    <w:p w14:paraId="2C7570A7" w14:textId="77777777" w:rsidR="00B306B5" w:rsidRDefault="00B306B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44FBEA22" w:rsidR="00BC50D8" w:rsidRDefault="00F419CF" w:rsidP="00F07ECC">
    <w:pPr>
      <w:pStyle w:val="Header"/>
      <w:jc w:val="right"/>
    </w:pPr>
    <w:r>
      <w:t>The New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0B4"/>
    <w:multiLevelType w:val="hybridMultilevel"/>
    <w:tmpl w:val="AC803ED4"/>
    <w:lvl w:ilvl="0" w:tplc="4544BB2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7525D4"/>
    <w:multiLevelType w:val="hybridMultilevel"/>
    <w:tmpl w:val="DE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77943"/>
    <w:multiLevelType w:val="hybridMultilevel"/>
    <w:tmpl w:val="BB5EB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8584130">
    <w:abstractNumId w:val="0"/>
  </w:num>
  <w:num w:numId="2" w16cid:durableId="499009569">
    <w:abstractNumId w:val="13"/>
  </w:num>
  <w:num w:numId="3" w16cid:durableId="83385745">
    <w:abstractNumId w:val="9"/>
  </w:num>
  <w:num w:numId="4" w16cid:durableId="30766426">
    <w:abstractNumId w:val="3"/>
  </w:num>
  <w:num w:numId="5" w16cid:durableId="68551050">
    <w:abstractNumId w:val="8"/>
  </w:num>
  <w:num w:numId="6" w16cid:durableId="83768655">
    <w:abstractNumId w:val="15"/>
  </w:num>
  <w:num w:numId="7" w16cid:durableId="707141479">
    <w:abstractNumId w:val="1"/>
  </w:num>
  <w:num w:numId="8" w16cid:durableId="1804889350">
    <w:abstractNumId w:val="14"/>
  </w:num>
  <w:num w:numId="9" w16cid:durableId="1538930953">
    <w:abstractNumId w:val="10"/>
  </w:num>
  <w:num w:numId="10" w16cid:durableId="1327829009">
    <w:abstractNumId w:val="6"/>
  </w:num>
  <w:num w:numId="11" w16cid:durableId="1412123067">
    <w:abstractNumId w:val="4"/>
  </w:num>
  <w:num w:numId="12" w16cid:durableId="1732536762">
    <w:abstractNumId w:val="12"/>
  </w:num>
  <w:num w:numId="13" w16cid:durableId="821385879">
    <w:abstractNumId w:val="7"/>
  </w:num>
  <w:num w:numId="14" w16cid:durableId="725227475">
    <w:abstractNumId w:val="2"/>
  </w:num>
  <w:num w:numId="15" w16cid:durableId="1938556723">
    <w:abstractNumId w:val="11"/>
  </w:num>
  <w:num w:numId="16" w16cid:durableId="2124613808">
    <w:abstractNumId w:val="16"/>
  </w:num>
  <w:num w:numId="17" w16cid:durableId="1982998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10AF6"/>
    <w:rsid w:val="00031D32"/>
    <w:rsid w:val="00054535"/>
    <w:rsid w:val="000559D2"/>
    <w:rsid w:val="00062456"/>
    <w:rsid w:val="00070977"/>
    <w:rsid w:val="00075938"/>
    <w:rsid w:val="000A4BC4"/>
    <w:rsid w:val="000B1FBD"/>
    <w:rsid w:val="000B4F9E"/>
    <w:rsid w:val="000C022F"/>
    <w:rsid w:val="000C1122"/>
    <w:rsid w:val="000D063B"/>
    <w:rsid w:val="000D0ADB"/>
    <w:rsid w:val="00112417"/>
    <w:rsid w:val="0012209A"/>
    <w:rsid w:val="00125E31"/>
    <w:rsid w:val="0016008F"/>
    <w:rsid w:val="0019184A"/>
    <w:rsid w:val="00196EFB"/>
    <w:rsid w:val="001A1F49"/>
    <w:rsid w:val="001B249E"/>
    <w:rsid w:val="001B38AE"/>
    <w:rsid w:val="001C176E"/>
    <w:rsid w:val="001D52B4"/>
    <w:rsid w:val="001F5522"/>
    <w:rsid w:val="00211D4E"/>
    <w:rsid w:val="00250E21"/>
    <w:rsid w:val="00254F48"/>
    <w:rsid w:val="002758F4"/>
    <w:rsid w:val="00280886"/>
    <w:rsid w:val="00296933"/>
    <w:rsid w:val="002A1C6F"/>
    <w:rsid w:val="002B05A9"/>
    <w:rsid w:val="002E0251"/>
    <w:rsid w:val="002F2E2E"/>
    <w:rsid w:val="002F6A9F"/>
    <w:rsid w:val="0032300A"/>
    <w:rsid w:val="0033147B"/>
    <w:rsid w:val="0036496C"/>
    <w:rsid w:val="00374DFC"/>
    <w:rsid w:val="00376A3F"/>
    <w:rsid w:val="003774A3"/>
    <w:rsid w:val="00380AF8"/>
    <w:rsid w:val="003A4D37"/>
    <w:rsid w:val="003A79D5"/>
    <w:rsid w:val="003B3436"/>
    <w:rsid w:val="003B4E54"/>
    <w:rsid w:val="003D2DA9"/>
    <w:rsid w:val="003E1630"/>
    <w:rsid w:val="004073B3"/>
    <w:rsid w:val="004114EB"/>
    <w:rsid w:val="00420D53"/>
    <w:rsid w:val="004263FC"/>
    <w:rsid w:val="00430B7E"/>
    <w:rsid w:val="00437C2E"/>
    <w:rsid w:val="00443202"/>
    <w:rsid w:val="00446A8E"/>
    <w:rsid w:val="00465E84"/>
    <w:rsid w:val="00466A4F"/>
    <w:rsid w:val="004A414D"/>
    <w:rsid w:val="004A54D7"/>
    <w:rsid w:val="004C3AAC"/>
    <w:rsid w:val="004C658D"/>
    <w:rsid w:val="004D13A3"/>
    <w:rsid w:val="004E1DD8"/>
    <w:rsid w:val="004E2F96"/>
    <w:rsid w:val="004E359E"/>
    <w:rsid w:val="004F3B41"/>
    <w:rsid w:val="004F6AC1"/>
    <w:rsid w:val="004F7731"/>
    <w:rsid w:val="0053543D"/>
    <w:rsid w:val="00537413"/>
    <w:rsid w:val="005452B9"/>
    <w:rsid w:val="00572456"/>
    <w:rsid w:val="00581B5F"/>
    <w:rsid w:val="005B4A31"/>
    <w:rsid w:val="005C12D6"/>
    <w:rsid w:val="005D2814"/>
    <w:rsid w:val="005D5956"/>
    <w:rsid w:val="0061658B"/>
    <w:rsid w:val="006215A8"/>
    <w:rsid w:val="006317AE"/>
    <w:rsid w:val="006319B1"/>
    <w:rsid w:val="006324ED"/>
    <w:rsid w:val="006328B5"/>
    <w:rsid w:val="00652657"/>
    <w:rsid w:val="0067779A"/>
    <w:rsid w:val="0068088A"/>
    <w:rsid w:val="006A3B03"/>
    <w:rsid w:val="006C597C"/>
    <w:rsid w:val="006D24A0"/>
    <w:rsid w:val="006D63D4"/>
    <w:rsid w:val="006E4158"/>
    <w:rsid w:val="006F320C"/>
    <w:rsid w:val="00703C18"/>
    <w:rsid w:val="007265D5"/>
    <w:rsid w:val="00732133"/>
    <w:rsid w:val="00742FB9"/>
    <w:rsid w:val="007466F7"/>
    <w:rsid w:val="007534F7"/>
    <w:rsid w:val="00760EF7"/>
    <w:rsid w:val="00767AE0"/>
    <w:rsid w:val="007A555F"/>
    <w:rsid w:val="007A65AE"/>
    <w:rsid w:val="007C724C"/>
    <w:rsid w:val="007D0434"/>
    <w:rsid w:val="007D0FB5"/>
    <w:rsid w:val="007D6078"/>
    <w:rsid w:val="007E2E8C"/>
    <w:rsid w:val="007E387E"/>
    <w:rsid w:val="008003AF"/>
    <w:rsid w:val="00807DA7"/>
    <w:rsid w:val="008111C5"/>
    <w:rsid w:val="0081508E"/>
    <w:rsid w:val="008224F7"/>
    <w:rsid w:val="00832B9F"/>
    <w:rsid w:val="00834B6F"/>
    <w:rsid w:val="0084229B"/>
    <w:rsid w:val="00856678"/>
    <w:rsid w:val="0087607D"/>
    <w:rsid w:val="00891273"/>
    <w:rsid w:val="00895422"/>
    <w:rsid w:val="008A0658"/>
    <w:rsid w:val="008B1236"/>
    <w:rsid w:val="008B203B"/>
    <w:rsid w:val="008D3D82"/>
    <w:rsid w:val="008E1930"/>
    <w:rsid w:val="008F17C6"/>
    <w:rsid w:val="008F375A"/>
    <w:rsid w:val="00902769"/>
    <w:rsid w:val="00944040"/>
    <w:rsid w:val="00954E04"/>
    <w:rsid w:val="00954EDA"/>
    <w:rsid w:val="00975570"/>
    <w:rsid w:val="009855DD"/>
    <w:rsid w:val="0098734B"/>
    <w:rsid w:val="0099393D"/>
    <w:rsid w:val="009B11E4"/>
    <w:rsid w:val="009C0B90"/>
    <w:rsid w:val="009E079A"/>
    <w:rsid w:val="009E3115"/>
    <w:rsid w:val="009E5CD9"/>
    <w:rsid w:val="009E638D"/>
    <w:rsid w:val="00A02A5D"/>
    <w:rsid w:val="00A126AF"/>
    <w:rsid w:val="00A27763"/>
    <w:rsid w:val="00A43FFC"/>
    <w:rsid w:val="00A855A6"/>
    <w:rsid w:val="00AA0BD9"/>
    <w:rsid w:val="00AA1834"/>
    <w:rsid w:val="00AA2EE5"/>
    <w:rsid w:val="00AA53E1"/>
    <w:rsid w:val="00AB46E4"/>
    <w:rsid w:val="00AC3AD0"/>
    <w:rsid w:val="00AC56E0"/>
    <w:rsid w:val="00AD412F"/>
    <w:rsid w:val="00AE6C65"/>
    <w:rsid w:val="00AE6F95"/>
    <w:rsid w:val="00B15684"/>
    <w:rsid w:val="00B306B5"/>
    <w:rsid w:val="00B3249D"/>
    <w:rsid w:val="00B43102"/>
    <w:rsid w:val="00B51465"/>
    <w:rsid w:val="00B5292B"/>
    <w:rsid w:val="00B64E34"/>
    <w:rsid w:val="00B8710D"/>
    <w:rsid w:val="00B97912"/>
    <w:rsid w:val="00BB2FC9"/>
    <w:rsid w:val="00BB7935"/>
    <w:rsid w:val="00BC50D8"/>
    <w:rsid w:val="00BD3CD3"/>
    <w:rsid w:val="00C058D2"/>
    <w:rsid w:val="00C13251"/>
    <w:rsid w:val="00C1555E"/>
    <w:rsid w:val="00C213E7"/>
    <w:rsid w:val="00C24BF0"/>
    <w:rsid w:val="00C53F1F"/>
    <w:rsid w:val="00C761F4"/>
    <w:rsid w:val="00C8563C"/>
    <w:rsid w:val="00C9513D"/>
    <w:rsid w:val="00CD5254"/>
    <w:rsid w:val="00CD72D5"/>
    <w:rsid w:val="00CE7BEB"/>
    <w:rsid w:val="00CF58A3"/>
    <w:rsid w:val="00D027C3"/>
    <w:rsid w:val="00D1039F"/>
    <w:rsid w:val="00D10832"/>
    <w:rsid w:val="00D11933"/>
    <w:rsid w:val="00D17811"/>
    <w:rsid w:val="00D44587"/>
    <w:rsid w:val="00D53DB7"/>
    <w:rsid w:val="00D5491F"/>
    <w:rsid w:val="00D608F7"/>
    <w:rsid w:val="00D700FB"/>
    <w:rsid w:val="00D72537"/>
    <w:rsid w:val="00D82467"/>
    <w:rsid w:val="00DA3373"/>
    <w:rsid w:val="00DB541B"/>
    <w:rsid w:val="00DC294A"/>
    <w:rsid w:val="00DE6928"/>
    <w:rsid w:val="00DE7B04"/>
    <w:rsid w:val="00DF059C"/>
    <w:rsid w:val="00E12637"/>
    <w:rsid w:val="00E1332B"/>
    <w:rsid w:val="00E26A8A"/>
    <w:rsid w:val="00E42C7D"/>
    <w:rsid w:val="00E476C3"/>
    <w:rsid w:val="00E70AAD"/>
    <w:rsid w:val="00E70EFA"/>
    <w:rsid w:val="00E71340"/>
    <w:rsid w:val="00E80A35"/>
    <w:rsid w:val="00E86F49"/>
    <w:rsid w:val="00E94B61"/>
    <w:rsid w:val="00EA0773"/>
    <w:rsid w:val="00EA1974"/>
    <w:rsid w:val="00EB1B24"/>
    <w:rsid w:val="00EE02C4"/>
    <w:rsid w:val="00EE2824"/>
    <w:rsid w:val="00EF4690"/>
    <w:rsid w:val="00F05CC2"/>
    <w:rsid w:val="00F07ECC"/>
    <w:rsid w:val="00F20D06"/>
    <w:rsid w:val="00F33E75"/>
    <w:rsid w:val="00F419CF"/>
    <w:rsid w:val="00F43B77"/>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paragraph" w:customStyle="1" w:styleId="xxmsonormal">
    <w:name w:val="x_x_msonormal"/>
    <w:basedOn w:val="Normal"/>
    <w:rsid w:val="006215A8"/>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4114EB"/>
    <w:rPr>
      <w:color w:val="605E5C"/>
      <w:shd w:val="clear" w:color="auto" w:fill="E1DFDD"/>
    </w:rPr>
  </w:style>
  <w:style w:type="paragraph" w:customStyle="1" w:styleId="msolistparagraph0">
    <w:name w:val="msolistparagraph"/>
    <w:basedOn w:val="Normal"/>
    <w:rsid w:val="00112417"/>
    <w:pPr>
      <w:spacing w:after="0" w:line="240" w:lineRule="auto"/>
      <w:ind w:left="720"/>
    </w:pPr>
    <w:rPr>
      <w:rFonts w:ascii="Calibri" w:eastAsia="Calibri" w:hAnsi="Calibri" w:cs="Times New Roman"/>
      <w:lang w:val="en-US"/>
    </w:rPr>
  </w:style>
  <w:style w:type="character" w:customStyle="1" w:styleId="ListParagraphChar">
    <w:name w:val="List Paragraph Char"/>
    <w:aliases w:val="normal Char,Numbered List Char"/>
    <w:basedOn w:val="DefaultParagraphFont"/>
    <w:link w:val="ListParagraph"/>
    <w:locked/>
    <w:rsid w:val="00E4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614287085">
      <w:bodyDiv w:val="1"/>
      <w:marLeft w:val="0"/>
      <w:marRight w:val="0"/>
      <w:marTop w:val="0"/>
      <w:marBottom w:val="0"/>
      <w:divBdr>
        <w:top w:val="none" w:sz="0" w:space="0" w:color="auto"/>
        <w:left w:val="none" w:sz="0" w:space="0" w:color="auto"/>
        <w:bottom w:val="none" w:sz="0" w:space="0" w:color="auto"/>
        <w:right w:val="none" w:sz="0" w:space="0" w:color="auto"/>
      </w:divBdr>
    </w:div>
    <w:div w:id="651524269">
      <w:bodyDiv w:val="1"/>
      <w:marLeft w:val="0"/>
      <w:marRight w:val="0"/>
      <w:marTop w:val="0"/>
      <w:marBottom w:val="0"/>
      <w:divBdr>
        <w:top w:val="none" w:sz="0" w:space="0" w:color="auto"/>
        <w:left w:val="none" w:sz="0" w:space="0" w:color="auto"/>
        <w:bottom w:val="none" w:sz="0" w:space="0" w:color="auto"/>
        <w:right w:val="none" w:sz="0" w:space="0" w:color="auto"/>
      </w:divBdr>
    </w:div>
    <w:div w:id="912663934">
      <w:bodyDiv w:val="1"/>
      <w:marLeft w:val="0"/>
      <w:marRight w:val="0"/>
      <w:marTop w:val="0"/>
      <w:marBottom w:val="0"/>
      <w:divBdr>
        <w:top w:val="none" w:sz="0" w:space="0" w:color="auto"/>
        <w:left w:val="none" w:sz="0" w:space="0" w:color="auto"/>
        <w:bottom w:val="none" w:sz="0" w:space="0" w:color="auto"/>
        <w:right w:val="none" w:sz="0" w:space="0" w:color="auto"/>
      </w:divBdr>
    </w:div>
    <w:div w:id="1003704890">
      <w:bodyDiv w:val="1"/>
      <w:marLeft w:val="0"/>
      <w:marRight w:val="0"/>
      <w:marTop w:val="0"/>
      <w:marBottom w:val="0"/>
      <w:divBdr>
        <w:top w:val="none" w:sz="0" w:space="0" w:color="auto"/>
        <w:left w:val="none" w:sz="0" w:space="0" w:color="auto"/>
        <w:bottom w:val="none" w:sz="0" w:space="0" w:color="auto"/>
        <w:right w:val="none" w:sz="0" w:space="0" w:color="auto"/>
      </w:divBdr>
    </w:div>
    <w:div w:id="1047680926">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542134869">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hyperlink" Target="https://www.nhs.uk/using-the-nhs/about-the-nhs/opt-out-of-sharing-your-health-recor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gital.nhs.uk/services/gp-connect/gp-connect-in-your-organisation/transparency-notice"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mailto:enquiries@nhsdigital.nhs.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20" Type="http://schemas.openxmlformats.org/officeDocument/2006/relationships/hyperlink" Target="https://gbr01.safelinks.protection.outlook.com/?url=https%3A%2F%2Fdigital.nhs.uk%2Fservices%2Fgp-connect&amp;data=05%7C02%7Ctracey.burgoyne%40nhs.net%7C269ef8eae702447a2ae308de1147dd42%7C37c354b285b047f5b22207b48d774ee3%7C0%7C0%7C638967197518937668%7CUnknown%7CTWFpbGZsb3d8eyJFbXB0eU1hcGkiOnRydWUsIlYiOiIwLjAuMDAwMCIsIlAiOiJXaW4zMiIsIkFOIjoiTWFpbCIsIldUIjoyfQ%3D%3D%7C0%7C%7C%7C&amp;sdata=l7ofcYMIn3J9MvlKBeou3%2Bhtyc8JrnTywGJTGkkDgqE%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3" Type="http://schemas.openxmlformats.org/officeDocument/2006/relationships/header" Target="header1.xml"/><Relationship Id="rId10" Type="http://schemas.openxmlformats.org/officeDocument/2006/relationships/hyperlink" Target="https://www.gov.uk/government/collections/population-screening-programmes-document-collection" TargetMode="External"/><Relationship Id="rId19" Type="http://schemas.openxmlformats.org/officeDocument/2006/relationships/hyperlink" Target="https://www.opensafely.org/"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 Id="rId22" Type="http://schemas.openxmlformats.org/officeDocument/2006/relationships/hyperlink" Target="https://www.scwcsu.nhs.uk/legal/fair-processing-notice-child-health-information-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8EA-3720-49C3-8707-15F4A30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5552</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SHAH, Yera (THE NEW SURGERY CHESHAM)</cp:lastModifiedBy>
  <cp:revision>2</cp:revision>
  <dcterms:created xsi:type="dcterms:W3CDTF">2026-05-19T07:48:00Z</dcterms:created>
  <dcterms:modified xsi:type="dcterms:W3CDTF">2026-05-19T07:48:00Z</dcterms:modified>
</cp:coreProperties>
</file>